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620"/>
        <w:gridCol w:w="2894"/>
      </w:tblGrid>
      <w:tr w:rsidR="004B36F7" w:rsidTr="004B36F7">
        <w:trPr>
          <w:trHeight w:val="915"/>
        </w:trPr>
        <w:tc>
          <w:tcPr>
            <w:tcW w:w="6521" w:type="dxa"/>
            <w:tcBorders>
              <w:bottom w:val="nil"/>
            </w:tcBorders>
            <w:tcMar>
              <w:left w:w="0" w:type="dxa"/>
              <w:right w:w="0" w:type="dxa"/>
            </w:tcMar>
          </w:tcPr>
          <w:p w:rsidR="004B36F7" w:rsidRPr="004B36F7" w:rsidRDefault="004B36F7" w:rsidP="004B36F7">
            <w:pPr>
              <w:spacing w:before="0" w:after="0" w:line="240" w:lineRule="auto"/>
              <w:rPr>
                <w:rStyle w:val="5yl5"/>
                <w:b/>
                <w:sz w:val="40"/>
                <w:szCs w:val="40"/>
              </w:rPr>
            </w:pPr>
            <w:r w:rsidRPr="004B36F7">
              <w:rPr>
                <w:rStyle w:val="5yl5"/>
                <w:b/>
                <w:sz w:val="40"/>
                <w:szCs w:val="40"/>
              </w:rPr>
              <w:t>Russell de Montfort</w:t>
            </w:r>
          </w:p>
          <w:p w:rsidR="004B36F7" w:rsidRPr="00B52BE2" w:rsidRDefault="004B36F7" w:rsidP="004B36F7">
            <w:pPr>
              <w:spacing w:before="0" w:after="0" w:line="240" w:lineRule="auto"/>
              <w:rPr>
                <w:rStyle w:val="5yl5"/>
                <w:b/>
                <w:sz w:val="22"/>
                <w:szCs w:val="22"/>
              </w:rPr>
            </w:pPr>
            <w:r>
              <w:rPr>
                <w:rStyle w:val="5yl5"/>
                <w:b/>
                <w:sz w:val="22"/>
                <w:szCs w:val="22"/>
              </w:rPr>
              <w:t>Tech</w:t>
            </w:r>
            <w:r w:rsidR="007D5276">
              <w:rPr>
                <w:rStyle w:val="5yl5"/>
                <w:b/>
                <w:sz w:val="22"/>
                <w:szCs w:val="22"/>
              </w:rPr>
              <w:t xml:space="preserve">nical Project Director </w:t>
            </w:r>
            <w:r w:rsidR="007D5276" w:rsidRPr="007D5276">
              <w:rPr>
                <w:rStyle w:val="5yl5"/>
                <w:b/>
                <w:sz w:val="22"/>
                <w:szCs w:val="22"/>
                <w:lang w:val="en-GB"/>
              </w:rPr>
              <w:t>specialis</w:t>
            </w:r>
            <w:r w:rsidRPr="007D5276">
              <w:rPr>
                <w:rStyle w:val="5yl5"/>
                <w:b/>
                <w:sz w:val="22"/>
                <w:szCs w:val="22"/>
                <w:lang w:val="en-GB"/>
              </w:rPr>
              <w:t>ed</w:t>
            </w:r>
            <w:r>
              <w:rPr>
                <w:rStyle w:val="5yl5"/>
                <w:b/>
                <w:sz w:val="22"/>
                <w:szCs w:val="22"/>
              </w:rPr>
              <w:t xml:space="preserve"> in global transitions, </w:t>
            </w:r>
            <w:r>
              <w:rPr>
                <w:rStyle w:val="5yl5"/>
                <w:b/>
                <w:sz w:val="22"/>
                <w:szCs w:val="22"/>
              </w:rPr>
              <w:br/>
              <w:t>transformation</w:t>
            </w:r>
            <w:r w:rsidR="007D5276">
              <w:rPr>
                <w:rStyle w:val="5yl5"/>
                <w:b/>
                <w:sz w:val="22"/>
                <w:szCs w:val="22"/>
              </w:rPr>
              <w:t>s</w:t>
            </w:r>
            <w:r>
              <w:rPr>
                <w:rStyle w:val="5yl5"/>
                <w:b/>
                <w:sz w:val="22"/>
                <w:szCs w:val="22"/>
              </w:rPr>
              <w:t xml:space="preserve"> and central government projects</w:t>
            </w:r>
          </w:p>
        </w:tc>
        <w:tc>
          <w:tcPr>
            <w:tcW w:w="620" w:type="dxa"/>
            <w:vMerge w:val="restart"/>
            <w:tcBorders>
              <w:bottom w:val="nil"/>
            </w:tcBorders>
            <w:tcMar>
              <w:left w:w="0" w:type="dxa"/>
              <w:right w:w="0" w:type="dxa"/>
            </w:tcMar>
            <w:vAlign w:val="center"/>
          </w:tcPr>
          <w:p w:rsidR="004B36F7" w:rsidRDefault="004B36F7" w:rsidP="004B36F7">
            <w:pPr>
              <w:spacing w:before="0" w:after="0"/>
              <w:rPr>
                <w:rStyle w:val="5yl5"/>
                <w:sz w:val="22"/>
                <w:szCs w:val="22"/>
              </w:rPr>
            </w:pPr>
            <w:r>
              <w:rPr>
                <w:noProof/>
                <w:sz w:val="22"/>
                <w:szCs w:val="22"/>
                <w:lang w:eastAsia="en-GB" w:bidi="ar-SA"/>
              </w:rPr>
              <w:drawing>
                <wp:inline distT="0" distB="0" distL="0" distR="0" wp14:anchorId="4D11F8DC" wp14:editId="4584E44B">
                  <wp:extent cx="285750" cy="266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l3.jpg"/>
                          <pic:cNvPicPr/>
                        </pic:nvPicPr>
                        <pic:blipFill>
                          <a:blip r:embed="rId6">
                            <a:extLst>
                              <a:ext uri="{28A0092B-C50C-407E-A947-70E740481C1C}">
                                <a14:useLocalDpi xmlns:a14="http://schemas.microsoft.com/office/drawing/2010/main" val="0"/>
                              </a:ext>
                            </a:extLst>
                          </a:blip>
                          <a:stretch>
                            <a:fillRect/>
                          </a:stretch>
                        </pic:blipFill>
                        <pic:spPr>
                          <a:xfrm>
                            <a:off x="0" y="0"/>
                            <a:ext cx="285750" cy="266700"/>
                          </a:xfrm>
                          <a:prstGeom prst="rect">
                            <a:avLst/>
                          </a:prstGeom>
                        </pic:spPr>
                      </pic:pic>
                    </a:graphicData>
                  </a:graphic>
                </wp:inline>
              </w:drawing>
            </w:r>
          </w:p>
          <w:p w:rsidR="004B36F7" w:rsidRDefault="004B36F7" w:rsidP="004B36F7">
            <w:pPr>
              <w:spacing w:before="0" w:after="0"/>
              <w:rPr>
                <w:rStyle w:val="5yl5"/>
                <w:sz w:val="22"/>
                <w:szCs w:val="22"/>
              </w:rPr>
            </w:pPr>
            <w:r>
              <w:rPr>
                <w:noProof/>
                <w:sz w:val="22"/>
                <w:szCs w:val="22"/>
                <w:lang w:eastAsia="en-GB" w:bidi="ar-SA"/>
              </w:rPr>
              <w:drawing>
                <wp:inline distT="0" distB="0" distL="0" distR="0" wp14:anchorId="1636D8F5" wp14:editId="512DDBF6">
                  <wp:extent cx="28575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ail3.jpg"/>
                          <pic:cNvPicPr/>
                        </pic:nvPicPr>
                        <pic:blipFill>
                          <a:blip r:embed="rId7">
                            <a:extLst>
                              <a:ext uri="{28A0092B-C50C-407E-A947-70E740481C1C}">
                                <a14:useLocalDpi xmlns:a14="http://schemas.microsoft.com/office/drawing/2010/main" val="0"/>
                              </a:ext>
                            </a:extLst>
                          </a:blip>
                          <a:stretch>
                            <a:fillRect/>
                          </a:stretch>
                        </pic:blipFill>
                        <pic:spPr>
                          <a:xfrm>
                            <a:off x="0" y="0"/>
                            <a:ext cx="285750" cy="266700"/>
                          </a:xfrm>
                          <a:prstGeom prst="rect">
                            <a:avLst/>
                          </a:prstGeom>
                        </pic:spPr>
                      </pic:pic>
                    </a:graphicData>
                  </a:graphic>
                </wp:inline>
              </w:drawing>
            </w:r>
          </w:p>
          <w:p w:rsidR="004B36F7" w:rsidRDefault="004B36F7" w:rsidP="004B36F7">
            <w:pPr>
              <w:spacing w:before="0" w:after="0"/>
              <w:rPr>
                <w:rStyle w:val="5yl5"/>
                <w:sz w:val="22"/>
                <w:szCs w:val="22"/>
              </w:rPr>
            </w:pPr>
            <w:r>
              <w:rPr>
                <w:noProof/>
                <w:sz w:val="22"/>
                <w:szCs w:val="22"/>
                <w:lang w:eastAsia="en-GB" w:bidi="ar-SA"/>
              </w:rPr>
              <w:drawing>
                <wp:inline distT="0" distB="0" distL="0" distR="0" wp14:anchorId="675C459B" wp14:editId="59E731F6">
                  <wp:extent cx="28575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3.jpg"/>
                          <pic:cNvPicPr/>
                        </pic:nvPicPr>
                        <pic:blipFill>
                          <a:blip r:embed="rId8">
                            <a:extLst>
                              <a:ext uri="{28A0092B-C50C-407E-A947-70E740481C1C}">
                                <a14:useLocalDpi xmlns:a14="http://schemas.microsoft.com/office/drawing/2010/main" val="0"/>
                              </a:ext>
                            </a:extLst>
                          </a:blip>
                          <a:stretch>
                            <a:fillRect/>
                          </a:stretch>
                        </pic:blipFill>
                        <pic:spPr>
                          <a:xfrm>
                            <a:off x="0" y="0"/>
                            <a:ext cx="285750" cy="266700"/>
                          </a:xfrm>
                          <a:prstGeom prst="rect">
                            <a:avLst/>
                          </a:prstGeom>
                        </pic:spPr>
                      </pic:pic>
                    </a:graphicData>
                  </a:graphic>
                </wp:inline>
              </w:drawing>
            </w:r>
          </w:p>
          <w:p w:rsidR="004B36F7" w:rsidRDefault="004B36F7" w:rsidP="004B36F7">
            <w:pPr>
              <w:spacing w:before="0" w:after="0"/>
              <w:rPr>
                <w:rStyle w:val="5yl5"/>
                <w:sz w:val="22"/>
                <w:szCs w:val="22"/>
              </w:rPr>
            </w:pPr>
            <w:r>
              <w:rPr>
                <w:noProof/>
                <w:sz w:val="22"/>
                <w:szCs w:val="22"/>
                <w:lang w:eastAsia="en-GB" w:bidi="ar-SA"/>
              </w:rPr>
              <w:drawing>
                <wp:inline distT="0" distB="0" distL="0" distR="0" wp14:anchorId="15747E5D" wp14:editId="31208104">
                  <wp:extent cx="285750" cy="26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cation3.jpg"/>
                          <pic:cNvPicPr/>
                        </pic:nvPicPr>
                        <pic:blipFill>
                          <a:blip r:embed="rId9">
                            <a:extLst>
                              <a:ext uri="{28A0092B-C50C-407E-A947-70E740481C1C}">
                                <a14:useLocalDpi xmlns:a14="http://schemas.microsoft.com/office/drawing/2010/main" val="0"/>
                              </a:ext>
                            </a:extLst>
                          </a:blip>
                          <a:stretch>
                            <a:fillRect/>
                          </a:stretch>
                        </pic:blipFill>
                        <pic:spPr>
                          <a:xfrm>
                            <a:off x="0" y="0"/>
                            <a:ext cx="285750" cy="266700"/>
                          </a:xfrm>
                          <a:prstGeom prst="rect">
                            <a:avLst/>
                          </a:prstGeom>
                        </pic:spPr>
                      </pic:pic>
                    </a:graphicData>
                  </a:graphic>
                </wp:inline>
              </w:drawing>
            </w:r>
          </w:p>
        </w:tc>
        <w:tc>
          <w:tcPr>
            <w:tcW w:w="2894" w:type="dxa"/>
            <w:vMerge w:val="restart"/>
            <w:tcBorders>
              <w:bottom w:val="nil"/>
            </w:tcBorders>
            <w:tcMar>
              <w:left w:w="0" w:type="dxa"/>
              <w:right w:w="0" w:type="dxa"/>
            </w:tcMar>
            <w:vAlign w:val="center"/>
          </w:tcPr>
          <w:p w:rsidR="004B36F7" w:rsidRPr="004B36F7" w:rsidRDefault="004B36F7" w:rsidP="004B36F7">
            <w:pPr>
              <w:spacing w:before="0" w:after="0" w:line="408" w:lineRule="auto"/>
              <w:rPr>
                <w:rStyle w:val="5yl5"/>
                <w:b/>
                <w:color w:val="323E4F" w:themeColor="text2" w:themeShade="BF"/>
                <w:sz w:val="24"/>
                <w:szCs w:val="24"/>
              </w:rPr>
            </w:pPr>
            <w:r w:rsidRPr="004B36F7">
              <w:rPr>
                <w:rFonts w:cs="Calibri"/>
                <w:b/>
                <w:color w:val="323E4F" w:themeColor="text2" w:themeShade="BF"/>
                <w:sz w:val="24"/>
                <w:szCs w:val="24"/>
              </w:rPr>
              <w:t>+44 07581054299</w:t>
            </w:r>
          </w:p>
          <w:p w:rsidR="004B36F7" w:rsidRPr="004B36F7" w:rsidRDefault="00480454" w:rsidP="004B36F7">
            <w:pPr>
              <w:spacing w:before="0" w:after="0" w:line="408" w:lineRule="auto"/>
              <w:rPr>
                <w:rStyle w:val="5yl5"/>
                <w:b/>
                <w:color w:val="323E4F" w:themeColor="text2" w:themeShade="BF"/>
              </w:rPr>
            </w:pPr>
            <w:hyperlink r:id="rId10" w:history="1">
              <w:r w:rsidR="004B36F7" w:rsidRPr="004B36F7">
                <w:rPr>
                  <w:rStyle w:val="Hyperlink"/>
                  <w:b/>
                  <w:color w:val="323E4F" w:themeColor="text2" w:themeShade="BF"/>
                </w:rPr>
                <w:t>russell@demontfort.co</w:t>
              </w:r>
            </w:hyperlink>
          </w:p>
          <w:p w:rsidR="004B36F7" w:rsidRPr="004B36F7" w:rsidRDefault="00480454" w:rsidP="004B36F7">
            <w:pPr>
              <w:spacing w:before="0" w:after="0" w:line="408" w:lineRule="auto"/>
              <w:rPr>
                <w:rStyle w:val="5yl5"/>
                <w:b/>
                <w:color w:val="323E4F" w:themeColor="text2" w:themeShade="BF"/>
              </w:rPr>
            </w:pPr>
            <w:hyperlink r:id="rId11" w:history="1">
              <w:r w:rsidR="004B36F7" w:rsidRPr="004B36F7">
                <w:rPr>
                  <w:rStyle w:val="Hyperlink"/>
                  <w:b/>
                  <w:color w:val="323E4F" w:themeColor="text2" w:themeShade="BF"/>
                </w:rPr>
                <w:t>russelldemontfort</w:t>
              </w:r>
            </w:hyperlink>
          </w:p>
          <w:p w:rsidR="004B36F7" w:rsidRDefault="007D5276" w:rsidP="004B36F7">
            <w:pPr>
              <w:spacing w:before="0" w:after="0" w:line="408" w:lineRule="auto"/>
              <w:rPr>
                <w:rStyle w:val="5yl5"/>
                <w:sz w:val="22"/>
                <w:szCs w:val="22"/>
              </w:rPr>
            </w:pPr>
            <w:r>
              <w:rPr>
                <w:rStyle w:val="5yl5"/>
                <w:b/>
                <w:color w:val="323E4F" w:themeColor="text2" w:themeShade="BF"/>
              </w:rPr>
              <w:t xml:space="preserve">Available for any </w:t>
            </w:r>
            <w:r w:rsidR="004B36F7" w:rsidRPr="004B36F7">
              <w:rPr>
                <w:rStyle w:val="5yl5"/>
                <w:b/>
                <w:color w:val="323E4F" w:themeColor="text2" w:themeShade="BF"/>
              </w:rPr>
              <w:t>global locations</w:t>
            </w:r>
          </w:p>
        </w:tc>
      </w:tr>
      <w:tr w:rsidR="004B36F7" w:rsidTr="004B36F7">
        <w:trPr>
          <w:trHeight w:val="729"/>
        </w:trPr>
        <w:tc>
          <w:tcPr>
            <w:tcW w:w="6521" w:type="dxa"/>
            <w:tcBorders>
              <w:bottom w:val="nil"/>
            </w:tcBorders>
            <w:tcMar>
              <w:left w:w="0" w:type="dxa"/>
              <w:right w:w="0" w:type="dxa"/>
            </w:tcMar>
            <w:vAlign w:val="bottom"/>
          </w:tcPr>
          <w:p w:rsidR="004B36F7" w:rsidRDefault="004B36F7" w:rsidP="004B36F7">
            <w:pPr>
              <w:spacing w:before="0" w:after="0" w:line="240" w:lineRule="auto"/>
              <w:rPr>
                <w:rFonts w:cstheme="minorHAnsi"/>
                <w:color w:val="000000"/>
              </w:rPr>
            </w:pPr>
            <w:r w:rsidRPr="0046468C">
              <w:rPr>
                <w:rFonts w:cstheme="minorHAnsi"/>
                <w:color w:val="000000"/>
              </w:rPr>
              <w:t>Date of Birth:   11th February 1969</w:t>
            </w:r>
          </w:p>
          <w:p w:rsidR="004B36F7" w:rsidRDefault="004B36F7" w:rsidP="004B36F7">
            <w:pPr>
              <w:spacing w:before="0" w:after="0" w:line="240" w:lineRule="auto"/>
              <w:rPr>
                <w:rFonts w:cstheme="minorHAnsi"/>
                <w:color w:val="000000"/>
              </w:rPr>
            </w:pPr>
            <w:r w:rsidRPr="0046468C">
              <w:rPr>
                <w:rFonts w:cstheme="minorHAnsi"/>
                <w:color w:val="000000"/>
              </w:rPr>
              <w:t xml:space="preserve">Nationality:   Manx / British </w:t>
            </w:r>
          </w:p>
          <w:p w:rsidR="004B36F7" w:rsidRPr="00B52BE2" w:rsidRDefault="004B36F7" w:rsidP="004B36F7">
            <w:pPr>
              <w:spacing w:before="0" w:after="0" w:line="240" w:lineRule="auto"/>
              <w:rPr>
                <w:rStyle w:val="5yl5"/>
                <w:rFonts w:cstheme="minorHAnsi"/>
                <w:color w:val="000000"/>
              </w:rPr>
            </w:pPr>
            <w:r w:rsidRPr="0046468C">
              <w:rPr>
                <w:rFonts w:cstheme="minorHAnsi"/>
                <w:color w:val="000000"/>
              </w:rPr>
              <w:t xml:space="preserve">Car Owner:   Clean Driving License </w:t>
            </w:r>
          </w:p>
        </w:tc>
        <w:tc>
          <w:tcPr>
            <w:tcW w:w="620" w:type="dxa"/>
            <w:vMerge/>
            <w:tcBorders>
              <w:bottom w:val="nil"/>
            </w:tcBorders>
            <w:tcMar>
              <w:left w:w="0" w:type="dxa"/>
              <w:right w:w="0" w:type="dxa"/>
            </w:tcMar>
            <w:vAlign w:val="center"/>
          </w:tcPr>
          <w:p w:rsidR="004B36F7" w:rsidRDefault="004B36F7" w:rsidP="004B36F7">
            <w:pPr>
              <w:spacing w:before="0" w:after="0" w:line="240" w:lineRule="auto"/>
              <w:rPr>
                <w:rStyle w:val="5yl5"/>
                <w:sz w:val="22"/>
                <w:szCs w:val="22"/>
              </w:rPr>
            </w:pPr>
          </w:p>
        </w:tc>
        <w:tc>
          <w:tcPr>
            <w:tcW w:w="2894" w:type="dxa"/>
            <w:vMerge/>
            <w:tcBorders>
              <w:bottom w:val="nil"/>
            </w:tcBorders>
            <w:tcMar>
              <w:left w:w="0" w:type="dxa"/>
              <w:right w:w="0" w:type="dxa"/>
            </w:tcMar>
            <w:vAlign w:val="center"/>
          </w:tcPr>
          <w:p w:rsidR="004B36F7" w:rsidRDefault="004B36F7" w:rsidP="004B36F7">
            <w:pPr>
              <w:spacing w:before="0" w:after="0" w:line="240" w:lineRule="auto"/>
              <w:rPr>
                <w:rStyle w:val="5yl5"/>
                <w:sz w:val="22"/>
                <w:szCs w:val="22"/>
              </w:rPr>
            </w:pPr>
          </w:p>
        </w:tc>
      </w:tr>
    </w:tbl>
    <w:p w:rsidR="00890FF9" w:rsidRDefault="00FD5F4F" w:rsidP="00890FF9">
      <w:pPr>
        <w:spacing w:before="0" w:line="240" w:lineRule="auto"/>
        <w:jc w:val="both"/>
        <w:rPr>
          <w:rStyle w:val="5yl5"/>
          <w:sz w:val="22"/>
          <w:szCs w:val="22"/>
        </w:rPr>
      </w:pPr>
      <w:r w:rsidRPr="00A51CD0">
        <w:rPr>
          <w:b/>
          <w:noProof/>
          <w:sz w:val="24"/>
          <w:szCs w:val="24"/>
          <w:lang w:eastAsia="en-GB" w:bidi="ar-SA"/>
        </w:rPr>
        <w:drawing>
          <wp:anchor distT="0" distB="0" distL="114300" distR="114300" simplePos="0" relativeHeight="251661312" behindDoc="1" locked="0" layoutInCell="1" allowOverlap="1" wp14:anchorId="73CA0C7B" wp14:editId="294DD35B">
            <wp:simplePos x="0" y="0"/>
            <wp:positionH relativeFrom="column">
              <wp:posOffset>-2105025</wp:posOffset>
            </wp:positionH>
            <wp:positionV relativeFrom="paragraph">
              <wp:posOffset>1730070</wp:posOffset>
            </wp:positionV>
            <wp:extent cx="4219575" cy="36195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3.jpg"/>
                    <pic:cNvPicPr/>
                  </pic:nvPicPr>
                  <pic:blipFill>
                    <a:blip r:embed="rId12">
                      <a:extLst>
                        <a:ext uri="{28A0092B-C50C-407E-A947-70E740481C1C}">
                          <a14:useLocalDpi xmlns:a14="http://schemas.microsoft.com/office/drawing/2010/main" val="0"/>
                        </a:ext>
                      </a:extLst>
                    </a:blip>
                    <a:stretch>
                      <a:fillRect/>
                    </a:stretch>
                  </pic:blipFill>
                  <pic:spPr>
                    <a:xfrm>
                      <a:off x="0" y="0"/>
                      <a:ext cx="4219575" cy="361950"/>
                    </a:xfrm>
                    <a:prstGeom prst="rect">
                      <a:avLst/>
                    </a:prstGeom>
                    <a:solidFill>
                      <a:schemeClr val="accent1"/>
                    </a:solidFill>
                  </pic:spPr>
                </pic:pic>
              </a:graphicData>
            </a:graphic>
            <wp14:sizeRelV relativeFrom="margin">
              <wp14:pctHeight>0</wp14:pctHeight>
            </wp14:sizeRelV>
          </wp:anchor>
        </w:drawing>
      </w:r>
      <w:r>
        <w:rPr>
          <w:rStyle w:val="5yl5"/>
          <w:sz w:val="22"/>
          <w:szCs w:val="22"/>
        </w:rPr>
        <w:br/>
      </w:r>
      <w:r w:rsidR="004B36F7">
        <w:rPr>
          <w:noProof/>
          <w:sz w:val="22"/>
          <w:szCs w:val="22"/>
          <w:lang w:eastAsia="en-GB" w:bidi="ar-SA"/>
        </w:rPr>
        <mc:AlternateContent>
          <mc:Choice Requires="wps">
            <w:drawing>
              <wp:anchor distT="0" distB="0" distL="114300" distR="114300" simplePos="0" relativeHeight="251659264" behindDoc="0" locked="0" layoutInCell="1" allowOverlap="1" wp14:anchorId="4BFD2C23" wp14:editId="4A93288F">
                <wp:simplePos x="0" y="0"/>
                <wp:positionH relativeFrom="column">
                  <wp:posOffset>-590550</wp:posOffset>
                </wp:positionH>
                <wp:positionV relativeFrom="paragraph">
                  <wp:posOffset>73025</wp:posOffset>
                </wp:positionV>
                <wp:extent cx="7781925" cy="45719"/>
                <wp:effectExtent l="0" t="0" r="28575" b="12065"/>
                <wp:wrapNone/>
                <wp:docPr id="3" name="Rectangle 3"/>
                <wp:cNvGraphicFramePr/>
                <a:graphic xmlns:a="http://schemas.openxmlformats.org/drawingml/2006/main">
                  <a:graphicData uri="http://schemas.microsoft.com/office/word/2010/wordprocessingShape">
                    <wps:wsp>
                      <wps:cNvSpPr/>
                      <wps:spPr>
                        <a:xfrm>
                          <a:off x="0" y="0"/>
                          <a:ext cx="7781925" cy="45719"/>
                        </a:xfrm>
                        <a:prstGeom prst="rect">
                          <a:avLst/>
                        </a:prstGeom>
                        <a:solidFill>
                          <a:srgbClr val="7030A0"/>
                        </a:solidFill>
                        <a:ln w="19050">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6.5pt;margin-top:5.75pt;width:61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" fillcolor="#7030a0" strokecolor="#323e4f [2415]" strokeweight="1.5pt"/>
            </w:pict>
          </mc:Fallback>
        </mc:AlternateContent>
      </w:r>
      <w:r w:rsidR="00CE167E">
        <w:rPr>
          <w:rStyle w:val="5yl5"/>
          <w:sz w:val="22"/>
          <w:szCs w:val="22"/>
        </w:rPr>
        <w:t xml:space="preserve">As a </w:t>
      </w:r>
      <w:r w:rsidR="00890FF9" w:rsidRPr="000C5F98">
        <w:rPr>
          <w:rStyle w:val="5yl5"/>
          <w:sz w:val="22"/>
          <w:szCs w:val="22"/>
        </w:rPr>
        <w:t xml:space="preserve">Technical Project </w:t>
      </w:r>
      <w:r w:rsidR="00A318FB">
        <w:rPr>
          <w:rStyle w:val="5yl5"/>
          <w:sz w:val="22"/>
          <w:szCs w:val="22"/>
        </w:rPr>
        <w:t>Director</w:t>
      </w:r>
      <w:r w:rsidR="00890FF9" w:rsidRPr="000C5F98">
        <w:rPr>
          <w:rStyle w:val="5yl5"/>
          <w:sz w:val="22"/>
          <w:szCs w:val="22"/>
        </w:rPr>
        <w:t xml:space="preserve"> with over 30 years of </w:t>
      </w:r>
      <w:r w:rsidR="007D5276">
        <w:rPr>
          <w:rStyle w:val="5yl5"/>
          <w:sz w:val="22"/>
          <w:szCs w:val="22"/>
        </w:rPr>
        <w:t xml:space="preserve">practical </w:t>
      </w:r>
      <w:r w:rsidR="00890FF9" w:rsidRPr="000C5F98">
        <w:rPr>
          <w:rStyle w:val="5yl5"/>
          <w:sz w:val="22"/>
          <w:szCs w:val="22"/>
        </w:rPr>
        <w:t xml:space="preserve">experience, I have helped to create, shape and improve a wide variety of global computing, communication, engineering, and production platforms implemented today. I </w:t>
      </w:r>
      <w:r w:rsidR="007D5276">
        <w:rPr>
          <w:rStyle w:val="5yl5"/>
          <w:sz w:val="22"/>
          <w:szCs w:val="22"/>
        </w:rPr>
        <w:t xml:space="preserve">have </w:t>
      </w:r>
      <w:r w:rsidR="00890FF9" w:rsidRPr="000C5F98">
        <w:rPr>
          <w:rStyle w:val="5yl5"/>
          <w:sz w:val="22"/>
          <w:szCs w:val="22"/>
        </w:rPr>
        <w:t>provided key solutions leading to a perpetuating success for many Pan Government organisations as well as major international blue chip industries, including Pharmaceutical, Manufacturing, Retail, Finance and Banking clients. Professionalism, Integrity</w:t>
      </w:r>
      <w:r w:rsidR="007D5276">
        <w:rPr>
          <w:rStyle w:val="5yl5"/>
          <w:sz w:val="22"/>
          <w:szCs w:val="22"/>
        </w:rPr>
        <w:t xml:space="preserve"> and a genuine commitment are </w:t>
      </w:r>
      <w:r w:rsidR="00890FF9" w:rsidRPr="000C5F98">
        <w:rPr>
          <w:rStyle w:val="5yl5"/>
          <w:sz w:val="22"/>
          <w:szCs w:val="22"/>
        </w:rPr>
        <w:t xml:space="preserve">on the top of the list </w:t>
      </w:r>
      <w:r w:rsidR="00CE167E">
        <w:rPr>
          <w:rStyle w:val="5yl5"/>
          <w:sz w:val="22"/>
          <w:szCs w:val="22"/>
        </w:rPr>
        <w:t>for</w:t>
      </w:r>
      <w:r w:rsidR="00890FF9" w:rsidRPr="000C5F98">
        <w:rPr>
          <w:rStyle w:val="5yl5"/>
          <w:sz w:val="22"/>
          <w:szCs w:val="22"/>
        </w:rPr>
        <w:t xml:space="preserve"> me </w:t>
      </w:r>
      <w:r w:rsidR="00CE167E">
        <w:rPr>
          <w:rStyle w:val="5yl5"/>
          <w:sz w:val="22"/>
          <w:szCs w:val="22"/>
        </w:rPr>
        <w:t xml:space="preserve">to </w:t>
      </w:r>
      <w:r w:rsidR="007D5276">
        <w:rPr>
          <w:rStyle w:val="5yl5"/>
          <w:sz w:val="22"/>
          <w:szCs w:val="22"/>
        </w:rPr>
        <w:t xml:space="preserve">help </w:t>
      </w:r>
      <w:r w:rsidR="00CE167E">
        <w:rPr>
          <w:rStyle w:val="5yl5"/>
          <w:sz w:val="22"/>
          <w:szCs w:val="22"/>
        </w:rPr>
        <w:t>drive</w:t>
      </w:r>
      <w:r w:rsidR="00890FF9" w:rsidRPr="000C5F98">
        <w:rPr>
          <w:rStyle w:val="5yl5"/>
          <w:sz w:val="22"/>
          <w:szCs w:val="22"/>
        </w:rPr>
        <w:t xml:space="preserve"> d</w:t>
      </w:r>
      <w:r w:rsidR="007D5276">
        <w:rPr>
          <w:rStyle w:val="5yl5"/>
          <w:sz w:val="22"/>
          <w:szCs w:val="22"/>
        </w:rPr>
        <w:t>elivery process successes</w:t>
      </w:r>
      <w:r w:rsidR="00890FF9" w:rsidRPr="000C5F98">
        <w:rPr>
          <w:rStyle w:val="5yl5"/>
          <w:sz w:val="22"/>
          <w:szCs w:val="22"/>
        </w:rPr>
        <w:t xml:space="preserve">. My natural aim to contribute to the growth of my clients </w:t>
      </w:r>
      <w:r w:rsidR="007D5276">
        <w:rPr>
          <w:rStyle w:val="5yl5"/>
          <w:sz w:val="22"/>
          <w:szCs w:val="22"/>
        </w:rPr>
        <w:t xml:space="preserve">business </w:t>
      </w:r>
      <w:r w:rsidR="00890FF9" w:rsidRPr="000C5F98">
        <w:rPr>
          <w:rStyle w:val="5yl5"/>
          <w:sz w:val="22"/>
          <w:szCs w:val="22"/>
        </w:rPr>
        <w:t xml:space="preserve">is led by their requirements, where I am able to demonstrate good quality leadership, team player tactics and outstanding communications. Planning within tight deadlines, strictly to budget with no compromise on the quality </w:t>
      </w:r>
      <w:r w:rsidR="00CE167E">
        <w:rPr>
          <w:rStyle w:val="5yl5"/>
          <w:sz w:val="22"/>
          <w:szCs w:val="22"/>
        </w:rPr>
        <w:t xml:space="preserve">of the delivery </w:t>
      </w:r>
      <w:r w:rsidR="00890FF9" w:rsidRPr="000C5F98">
        <w:rPr>
          <w:rStyle w:val="5yl5"/>
          <w:sz w:val="22"/>
          <w:szCs w:val="22"/>
        </w:rPr>
        <w:t>is a joyful daily challenge.</w:t>
      </w:r>
    </w:p>
    <w:p w:rsidR="0033669E" w:rsidRDefault="00A318FB">
      <w:pPr>
        <w:rPr>
          <w:b/>
          <w:sz w:val="24"/>
          <w:szCs w:val="24"/>
        </w:rPr>
      </w:pPr>
      <w:r w:rsidRPr="00A318FB">
        <w:rPr>
          <w:b/>
          <w:sz w:val="24"/>
          <w:szCs w:val="24"/>
        </w:rPr>
        <w:t>Skillset summary</w:t>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961"/>
      </w:tblGrid>
      <w:tr w:rsidR="00A318FB" w:rsidTr="00987E00">
        <w:trPr>
          <w:trHeight w:val="4584"/>
        </w:trPr>
        <w:tc>
          <w:tcPr>
            <w:tcW w:w="5529" w:type="dxa"/>
            <w:shd w:val="clear" w:color="auto" w:fill="auto"/>
          </w:tcPr>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Leadi</w:t>
            </w:r>
            <w:r w:rsidR="00E16E8F">
              <w:rPr>
                <w:sz w:val="22"/>
                <w:szCs w:val="22"/>
              </w:rPr>
              <w:t>ng of Pan Government top secret</w:t>
            </w:r>
            <w:r w:rsidRPr="00936643">
              <w:rPr>
                <w:sz w:val="22"/>
                <w:szCs w:val="22"/>
              </w:rPr>
              <w:t xml:space="preserve"> projects </w:t>
            </w:r>
          </w:p>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 xml:space="preserve">FTS Transformation &amp; Service Improvement </w:t>
            </w:r>
          </w:p>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Project Management Offices (PMO) setup</w:t>
            </w:r>
          </w:p>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AGILE, RUP, Prince 2, ICE, Six Sigma</w:t>
            </w:r>
          </w:p>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 xml:space="preserve">ISO 9001:2000, ISO 9001/BS5750, ISO 14000/ISO 14001 </w:t>
            </w:r>
          </w:p>
          <w:p w:rsidR="00A318FB" w:rsidRPr="00936643" w:rsidRDefault="007D5276" w:rsidP="00A318FB">
            <w:pPr>
              <w:pStyle w:val="ListParagraph"/>
              <w:numPr>
                <w:ilvl w:val="0"/>
                <w:numId w:val="1"/>
              </w:numPr>
              <w:spacing w:before="0" w:after="0" w:line="240" w:lineRule="auto"/>
              <w:ind w:left="284" w:hanging="284"/>
              <w:rPr>
                <w:sz w:val="22"/>
                <w:szCs w:val="22"/>
              </w:rPr>
            </w:pPr>
            <w:r>
              <w:rPr>
                <w:sz w:val="22"/>
                <w:szCs w:val="22"/>
              </w:rPr>
              <w:t>GWAN/WAN/L</w:t>
            </w:r>
            <w:r w:rsidR="00A318FB" w:rsidRPr="00936643">
              <w:rPr>
                <w:sz w:val="22"/>
                <w:szCs w:val="22"/>
              </w:rPr>
              <w:t>AN network management</w:t>
            </w:r>
          </w:p>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Data migration, data/voice networking</w:t>
            </w:r>
          </w:p>
          <w:p w:rsidR="00A318FB" w:rsidRPr="00936643" w:rsidRDefault="007D5276" w:rsidP="00A318FB">
            <w:pPr>
              <w:pStyle w:val="ListParagraph"/>
              <w:numPr>
                <w:ilvl w:val="0"/>
                <w:numId w:val="1"/>
              </w:numPr>
              <w:spacing w:before="0" w:after="0" w:line="240" w:lineRule="auto"/>
              <w:ind w:left="284" w:hanging="284"/>
              <w:rPr>
                <w:sz w:val="22"/>
                <w:szCs w:val="22"/>
              </w:rPr>
            </w:pPr>
            <w:r>
              <w:rPr>
                <w:sz w:val="22"/>
                <w:szCs w:val="22"/>
              </w:rPr>
              <w:t>Helpdesk, D</w:t>
            </w:r>
            <w:r w:rsidR="00A318FB" w:rsidRPr="00936643">
              <w:rPr>
                <w:sz w:val="22"/>
                <w:szCs w:val="22"/>
              </w:rPr>
              <w:t xml:space="preserve">ata </w:t>
            </w:r>
            <w:r>
              <w:rPr>
                <w:sz w:val="22"/>
                <w:szCs w:val="22"/>
                <w:lang w:val="en-GB"/>
              </w:rPr>
              <w:t>C</w:t>
            </w:r>
            <w:r w:rsidR="00A318FB" w:rsidRPr="007D5276">
              <w:rPr>
                <w:sz w:val="22"/>
                <w:szCs w:val="22"/>
                <w:lang w:val="en-GB"/>
              </w:rPr>
              <w:t>entres</w:t>
            </w:r>
            <w:r w:rsidR="00A318FB" w:rsidRPr="00936643">
              <w:rPr>
                <w:sz w:val="22"/>
                <w:szCs w:val="22"/>
              </w:rPr>
              <w:t>, and systems integration</w:t>
            </w:r>
          </w:p>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 xml:space="preserve">SQL and Java / J2EE software development environments </w:t>
            </w:r>
          </w:p>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CRM’s including Microsoft and PeopleSoft products</w:t>
            </w:r>
          </w:p>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Mobile computing incl. Cloud and Citrix environments</w:t>
            </w:r>
          </w:p>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Infrastructure project management</w:t>
            </w:r>
          </w:p>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Risk assessment of processes and supplier interactions</w:t>
            </w:r>
          </w:p>
          <w:p w:rsidR="00A318FB" w:rsidRPr="00936643" w:rsidRDefault="00A318FB" w:rsidP="00A318FB">
            <w:pPr>
              <w:pStyle w:val="ListParagraph"/>
              <w:numPr>
                <w:ilvl w:val="0"/>
                <w:numId w:val="1"/>
              </w:numPr>
              <w:spacing w:before="0" w:after="0" w:line="240" w:lineRule="auto"/>
              <w:ind w:left="284" w:hanging="284"/>
              <w:rPr>
                <w:sz w:val="22"/>
                <w:szCs w:val="22"/>
              </w:rPr>
            </w:pPr>
            <w:r w:rsidRPr="00936643">
              <w:rPr>
                <w:sz w:val="22"/>
                <w:szCs w:val="22"/>
              </w:rPr>
              <w:t>Microsoft expert- Project, Excel, Word, Visio, Access, PowerPoint</w:t>
            </w:r>
            <w:r w:rsidR="007D5276">
              <w:rPr>
                <w:sz w:val="22"/>
                <w:szCs w:val="22"/>
              </w:rPr>
              <w:t>, BizTalk</w:t>
            </w:r>
            <w:r w:rsidRPr="00936643">
              <w:rPr>
                <w:sz w:val="22"/>
                <w:szCs w:val="22"/>
              </w:rPr>
              <w:t xml:space="preserve"> and SharePoint</w:t>
            </w:r>
          </w:p>
        </w:tc>
        <w:tc>
          <w:tcPr>
            <w:tcW w:w="4961" w:type="dxa"/>
            <w:shd w:val="clear" w:color="auto" w:fill="auto"/>
          </w:tcPr>
          <w:p w:rsidR="00A318FB" w:rsidRPr="00936643" w:rsidRDefault="007D5276" w:rsidP="00A318FB">
            <w:pPr>
              <w:pStyle w:val="ListParagraph"/>
              <w:numPr>
                <w:ilvl w:val="0"/>
                <w:numId w:val="2"/>
              </w:numPr>
              <w:spacing w:before="0" w:after="0" w:line="240" w:lineRule="auto"/>
              <w:ind w:left="317" w:hanging="317"/>
              <w:rPr>
                <w:sz w:val="22"/>
                <w:szCs w:val="22"/>
              </w:rPr>
            </w:pPr>
            <w:r w:rsidRPr="00936643">
              <w:rPr>
                <w:sz w:val="22"/>
                <w:szCs w:val="22"/>
              </w:rPr>
              <w:t>Pr</w:t>
            </w:r>
            <w:r>
              <w:rPr>
                <w:sz w:val="22"/>
                <w:szCs w:val="22"/>
              </w:rPr>
              <w:t>oduction of</w:t>
            </w:r>
            <w:r w:rsidR="00A318FB" w:rsidRPr="00936643">
              <w:rPr>
                <w:sz w:val="22"/>
                <w:szCs w:val="22"/>
              </w:rPr>
              <w:t xml:space="preserve"> Proposals and Bid Management </w:t>
            </w:r>
          </w:p>
          <w:p w:rsidR="00A318FB" w:rsidRPr="00936643" w:rsidRDefault="007D5276" w:rsidP="00A318FB">
            <w:pPr>
              <w:pStyle w:val="ListParagraph"/>
              <w:numPr>
                <w:ilvl w:val="0"/>
                <w:numId w:val="2"/>
              </w:numPr>
              <w:spacing w:before="0" w:after="0" w:line="240" w:lineRule="auto"/>
              <w:ind w:left="317" w:hanging="317"/>
              <w:rPr>
                <w:sz w:val="22"/>
                <w:szCs w:val="22"/>
              </w:rPr>
            </w:pPr>
            <w:r>
              <w:rPr>
                <w:sz w:val="22"/>
                <w:szCs w:val="22"/>
              </w:rPr>
              <w:t>Creation of</w:t>
            </w:r>
            <w:r w:rsidR="00A318FB" w:rsidRPr="00936643">
              <w:rPr>
                <w:sz w:val="22"/>
                <w:szCs w:val="22"/>
              </w:rPr>
              <w:t xml:space="preserve"> project plans including all activities, timescales, critical paths, dependencies, milestones, actions log, communication plans, resources and on-going running costs incl. support and warranties</w:t>
            </w:r>
          </w:p>
          <w:p w:rsidR="00A318FB" w:rsidRPr="00936643" w:rsidRDefault="00A318FB" w:rsidP="00A318FB">
            <w:pPr>
              <w:pStyle w:val="ListParagraph"/>
              <w:numPr>
                <w:ilvl w:val="0"/>
                <w:numId w:val="2"/>
              </w:numPr>
              <w:spacing w:before="0" w:after="0" w:line="240" w:lineRule="auto"/>
              <w:ind w:left="317" w:hanging="317"/>
              <w:rPr>
                <w:sz w:val="22"/>
                <w:szCs w:val="22"/>
              </w:rPr>
            </w:pPr>
            <w:r w:rsidRPr="00936643">
              <w:rPr>
                <w:sz w:val="22"/>
                <w:szCs w:val="22"/>
              </w:rPr>
              <w:t>On-going financial project reporting relating to both budgetary cost and revenue spend</w:t>
            </w:r>
          </w:p>
          <w:p w:rsidR="00A318FB" w:rsidRPr="00936643" w:rsidRDefault="00A318FB" w:rsidP="00A318FB">
            <w:pPr>
              <w:pStyle w:val="ListParagraph"/>
              <w:numPr>
                <w:ilvl w:val="0"/>
                <w:numId w:val="2"/>
              </w:numPr>
              <w:spacing w:before="0" w:after="0" w:line="240" w:lineRule="auto"/>
              <w:ind w:left="317" w:hanging="317"/>
              <w:rPr>
                <w:sz w:val="22"/>
                <w:szCs w:val="22"/>
              </w:rPr>
            </w:pPr>
            <w:r w:rsidRPr="00936643">
              <w:rPr>
                <w:sz w:val="22"/>
                <w:szCs w:val="22"/>
              </w:rPr>
              <w:t xml:space="preserve">Communication with Product Procurement, </w:t>
            </w:r>
            <w:r w:rsidR="007D5276">
              <w:rPr>
                <w:sz w:val="22"/>
                <w:szCs w:val="22"/>
              </w:rPr>
              <w:t>WAN/</w:t>
            </w:r>
            <w:r w:rsidRPr="00936643">
              <w:rPr>
                <w:sz w:val="22"/>
                <w:szCs w:val="22"/>
              </w:rPr>
              <w:t>LAN Design, Technical Resources, Change Control Boards, Commercial and Finance Boards, Quality Review and Third Party Vendors</w:t>
            </w:r>
          </w:p>
          <w:p w:rsidR="00A318FB" w:rsidRPr="00936643" w:rsidRDefault="00A318FB" w:rsidP="00A318FB">
            <w:pPr>
              <w:pStyle w:val="ListParagraph"/>
              <w:numPr>
                <w:ilvl w:val="0"/>
                <w:numId w:val="2"/>
              </w:numPr>
              <w:spacing w:before="0" w:after="0" w:line="240" w:lineRule="auto"/>
              <w:ind w:left="317" w:hanging="317"/>
              <w:rPr>
                <w:sz w:val="22"/>
                <w:szCs w:val="22"/>
              </w:rPr>
            </w:pPr>
            <w:r w:rsidRPr="00936643">
              <w:rPr>
                <w:sz w:val="22"/>
                <w:szCs w:val="22"/>
              </w:rPr>
              <w:t>Building, managing and training multidiscipline and multi-sited teams including global offshoring</w:t>
            </w:r>
          </w:p>
          <w:p w:rsidR="00A318FB" w:rsidRPr="00936643" w:rsidRDefault="00A318FB" w:rsidP="00A318FB">
            <w:pPr>
              <w:pStyle w:val="ListParagraph"/>
              <w:numPr>
                <w:ilvl w:val="0"/>
                <w:numId w:val="2"/>
              </w:numPr>
              <w:spacing w:before="0" w:after="0" w:line="240" w:lineRule="auto"/>
              <w:ind w:left="317" w:hanging="317"/>
              <w:rPr>
                <w:sz w:val="22"/>
                <w:szCs w:val="22"/>
              </w:rPr>
            </w:pPr>
            <w:r w:rsidRPr="00936643">
              <w:rPr>
                <w:sz w:val="22"/>
                <w:szCs w:val="22"/>
              </w:rPr>
              <w:t xml:space="preserve">Team appraisals &amp; performance reviews </w:t>
            </w:r>
          </w:p>
          <w:p w:rsidR="00A318FB" w:rsidRPr="00936643" w:rsidRDefault="00A318FB" w:rsidP="00A318FB">
            <w:pPr>
              <w:pStyle w:val="ListParagraph"/>
              <w:numPr>
                <w:ilvl w:val="0"/>
                <w:numId w:val="2"/>
              </w:numPr>
              <w:spacing w:before="0" w:after="0" w:line="240" w:lineRule="auto"/>
              <w:ind w:left="317" w:hanging="317"/>
              <w:rPr>
                <w:sz w:val="22"/>
                <w:szCs w:val="22"/>
              </w:rPr>
            </w:pPr>
            <w:r w:rsidRPr="00936643">
              <w:rPr>
                <w:sz w:val="22"/>
                <w:szCs w:val="22"/>
              </w:rPr>
              <w:t>Experience of Health and Safety at Work, COSHH and CDM regulations and working practices</w:t>
            </w:r>
          </w:p>
        </w:tc>
      </w:tr>
    </w:tbl>
    <w:p w:rsidR="00A318FB" w:rsidRDefault="00A318FB">
      <w:pPr>
        <w:rPr>
          <w:b/>
          <w:color w:val="323E4F" w:themeColor="text2" w:themeShade="BF"/>
          <w:sz w:val="24"/>
          <w:szCs w:val="24"/>
        </w:rPr>
      </w:pPr>
      <w:r w:rsidRPr="00A51CD0">
        <w:rPr>
          <w:b/>
          <w:noProof/>
          <w:sz w:val="24"/>
          <w:szCs w:val="24"/>
          <w:lang w:eastAsia="en-GB" w:bidi="ar-SA"/>
        </w:rPr>
        <w:drawing>
          <wp:anchor distT="0" distB="0" distL="114300" distR="114300" simplePos="0" relativeHeight="251663360" behindDoc="1" locked="0" layoutInCell="1" allowOverlap="1" wp14:anchorId="150A5014" wp14:editId="47AED493">
            <wp:simplePos x="0" y="0"/>
            <wp:positionH relativeFrom="column">
              <wp:posOffset>-2038350</wp:posOffset>
            </wp:positionH>
            <wp:positionV relativeFrom="paragraph">
              <wp:posOffset>49530</wp:posOffset>
            </wp:positionV>
            <wp:extent cx="4219575" cy="36195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3.jpg"/>
                    <pic:cNvPicPr/>
                  </pic:nvPicPr>
                  <pic:blipFill>
                    <a:blip r:embed="rId12">
                      <a:extLst>
                        <a:ext uri="{28A0092B-C50C-407E-A947-70E740481C1C}">
                          <a14:useLocalDpi xmlns:a14="http://schemas.microsoft.com/office/drawing/2010/main" val="0"/>
                        </a:ext>
                      </a:extLst>
                    </a:blip>
                    <a:stretch>
                      <a:fillRect/>
                    </a:stretch>
                  </pic:blipFill>
                  <pic:spPr>
                    <a:xfrm>
                      <a:off x="0" y="0"/>
                      <a:ext cx="4219575" cy="361950"/>
                    </a:xfrm>
                    <a:prstGeom prst="rect">
                      <a:avLst/>
                    </a:prstGeom>
                  </pic:spPr>
                </pic:pic>
              </a:graphicData>
            </a:graphic>
            <wp14:sizeRelV relativeFrom="margin">
              <wp14:pctHeight>0</wp14:pctHeight>
            </wp14:sizeRelV>
          </wp:anchor>
        </w:drawing>
      </w:r>
      <w:r>
        <w:rPr>
          <w:b/>
          <w:color w:val="323E4F" w:themeColor="text2" w:themeShade="BF"/>
          <w:sz w:val="24"/>
          <w:szCs w:val="24"/>
        </w:rPr>
        <w:t>Working h</w:t>
      </w:r>
      <w:r w:rsidRPr="00A318FB">
        <w:rPr>
          <w:b/>
          <w:color w:val="323E4F" w:themeColor="text2" w:themeShade="BF"/>
          <w:sz w:val="24"/>
          <w:szCs w:val="24"/>
        </w:rPr>
        <w:t>istory</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8"/>
        <w:gridCol w:w="5160"/>
      </w:tblGrid>
      <w:tr w:rsidR="00A318FB" w:rsidRPr="00A0403C" w:rsidTr="00936643">
        <w:tc>
          <w:tcPr>
            <w:tcW w:w="5188" w:type="dxa"/>
          </w:tcPr>
          <w:p w:rsidR="00A318FB" w:rsidRPr="00834F65" w:rsidRDefault="00A318FB" w:rsidP="00A318FB">
            <w:pPr>
              <w:spacing w:before="0" w:after="0" w:line="240" w:lineRule="auto"/>
              <w:rPr>
                <w:b/>
                <w:color w:val="000000" w:themeColor="text1"/>
                <w:sz w:val="22"/>
                <w:szCs w:val="22"/>
              </w:rPr>
            </w:pPr>
            <w:r w:rsidRPr="00834F65">
              <w:rPr>
                <w:b/>
                <w:color w:val="000000" w:themeColor="text1"/>
                <w:sz w:val="22"/>
                <w:szCs w:val="22"/>
              </w:rPr>
              <w:t xml:space="preserve">Global Senior Technical Project </w:t>
            </w:r>
            <w:r>
              <w:rPr>
                <w:b/>
                <w:color w:val="000000" w:themeColor="text1"/>
                <w:sz w:val="22"/>
                <w:szCs w:val="22"/>
              </w:rPr>
              <w:t>Director</w:t>
            </w:r>
          </w:p>
          <w:p w:rsidR="00936643" w:rsidRPr="00936643" w:rsidRDefault="00A318FB" w:rsidP="00A318FB">
            <w:pPr>
              <w:shd w:val="clear" w:color="auto" w:fill="FFFFFF" w:themeFill="background1"/>
              <w:spacing w:before="0" w:after="0" w:line="240" w:lineRule="auto"/>
              <w:rPr>
                <w:b/>
                <w:color w:val="2E74B5" w:themeColor="accent1" w:themeShade="BF"/>
                <w:sz w:val="22"/>
                <w:szCs w:val="22"/>
              </w:rPr>
            </w:pPr>
            <w:r w:rsidRPr="00834F65">
              <w:rPr>
                <w:b/>
                <w:color w:val="2E74B5" w:themeColor="accent1" w:themeShade="BF"/>
                <w:sz w:val="22"/>
                <w:szCs w:val="22"/>
              </w:rPr>
              <w:t>De Montfort Ltd</w:t>
            </w:r>
          </w:p>
        </w:tc>
        <w:tc>
          <w:tcPr>
            <w:tcW w:w="5160" w:type="dxa"/>
          </w:tcPr>
          <w:p w:rsidR="00A318FB" w:rsidRPr="00A0403C" w:rsidRDefault="00A318FB" w:rsidP="00A318FB">
            <w:pPr>
              <w:spacing w:before="0" w:after="0" w:line="240" w:lineRule="auto"/>
              <w:jc w:val="right"/>
              <w:rPr>
                <w:b/>
                <w:color w:val="000000" w:themeColor="text1"/>
                <w:sz w:val="22"/>
                <w:szCs w:val="22"/>
              </w:rPr>
            </w:pPr>
            <w:r w:rsidRPr="00A0403C">
              <w:rPr>
                <w:b/>
                <w:sz w:val="22"/>
                <w:szCs w:val="22"/>
              </w:rPr>
              <w:t>June 2010 -To Date</w:t>
            </w:r>
          </w:p>
        </w:tc>
      </w:tr>
    </w:tbl>
    <w:p w:rsidR="00936643" w:rsidRDefault="00936643" w:rsidP="00A318FB">
      <w:pPr>
        <w:shd w:val="clear" w:color="auto" w:fill="FFFFFF" w:themeFill="background1"/>
        <w:spacing w:before="0" w:after="0" w:line="240" w:lineRule="auto"/>
        <w:rPr>
          <w:rFonts w:cstheme="minorHAnsi"/>
          <w:b/>
          <w:color w:val="2E74B5" w:themeColor="accent1" w:themeShade="BF"/>
          <w:sz w:val="22"/>
          <w:szCs w:val="22"/>
        </w:rPr>
      </w:pPr>
      <w:r>
        <w:rPr>
          <w:rFonts w:cstheme="minorHAnsi"/>
          <w:b/>
          <w:noProof/>
          <w:color w:val="2E74B5" w:themeColor="accent1" w:themeShade="BF"/>
          <w:sz w:val="22"/>
          <w:szCs w:val="22"/>
          <w:lang w:eastAsia="en-GB" w:bidi="ar-SA"/>
        </w:rPr>
        <w:drawing>
          <wp:inline distT="0" distB="0" distL="0" distR="0">
            <wp:extent cx="1543050" cy="247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jects.jpg"/>
                    <pic:cNvPicPr/>
                  </pic:nvPicPr>
                  <pic:blipFill rotWithShape="1">
                    <a:blip r:embed="rId13">
                      <a:extLst>
                        <a:ext uri="{28A0092B-C50C-407E-A947-70E740481C1C}">
                          <a14:useLocalDpi xmlns:a14="http://schemas.microsoft.com/office/drawing/2010/main" val="0"/>
                        </a:ext>
                      </a:extLst>
                    </a:blip>
                    <a:srcRect l="9137" t="17500" r="8628" b="17500"/>
                    <a:stretch/>
                  </pic:blipFill>
                  <pic:spPr bwMode="auto">
                    <a:xfrm>
                      <a:off x="0" y="0"/>
                      <a:ext cx="1543050" cy="247650"/>
                    </a:xfrm>
                    <a:prstGeom prst="rect">
                      <a:avLst/>
                    </a:prstGeom>
                    <a:ln>
                      <a:noFill/>
                    </a:ln>
                    <a:extLst>
                      <a:ext uri="{53640926-AAD7-44D8-BBD7-CCE9431645EC}">
                        <a14:shadowObscured xmlns:a14="http://schemas.microsoft.com/office/drawing/2010/main"/>
                      </a:ext>
                    </a:extLst>
                  </pic:spPr>
                </pic:pic>
              </a:graphicData>
            </a:graphic>
          </wp:inline>
        </w:drawing>
      </w:r>
    </w:p>
    <w:p w:rsidR="00456B2F" w:rsidRDefault="00456B2F" w:rsidP="00A318FB">
      <w:pPr>
        <w:shd w:val="clear" w:color="auto" w:fill="FFFFFF" w:themeFill="background1"/>
        <w:spacing w:before="0" w:after="0" w:line="240" w:lineRule="auto"/>
        <w:rPr>
          <w:rFonts w:cstheme="minorHAnsi"/>
          <w:b/>
          <w:color w:val="2E74B5" w:themeColor="accent1" w:themeShade="BF"/>
          <w:sz w:val="22"/>
          <w:szCs w:val="22"/>
        </w:rPr>
      </w:pPr>
    </w:p>
    <w:p w:rsidR="00A318FB" w:rsidRPr="00936643" w:rsidRDefault="00A318FB" w:rsidP="00A318FB">
      <w:pPr>
        <w:shd w:val="clear" w:color="auto" w:fill="FFFFFF" w:themeFill="background1"/>
        <w:spacing w:before="0" w:after="0" w:line="240" w:lineRule="auto"/>
        <w:rPr>
          <w:rFonts w:cstheme="minorHAnsi"/>
          <w:b/>
          <w:i/>
          <w:sz w:val="22"/>
          <w:szCs w:val="22"/>
        </w:rPr>
      </w:pPr>
      <w:r w:rsidRPr="00936643">
        <w:rPr>
          <w:rFonts w:cstheme="minorHAnsi"/>
          <w:b/>
          <w:color w:val="2E74B5" w:themeColor="accent1" w:themeShade="BF"/>
          <w:sz w:val="22"/>
          <w:szCs w:val="22"/>
        </w:rPr>
        <w:t>Telefonica – Capita Partnership</w:t>
      </w:r>
      <w:r w:rsidRPr="00936643">
        <w:rPr>
          <w:rFonts w:cstheme="minorHAnsi"/>
          <w:b/>
          <w:i/>
          <w:sz w:val="22"/>
          <w:szCs w:val="22"/>
        </w:rPr>
        <w:t xml:space="preserve">- </w:t>
      </w:r>
      <w:r w:rsidRPr="00936643">
        <w:rPr>
          <w:rFonts w:cstheme="minorHAnsi"/>
          <w:b/>
          <w:sz w:val="22"/>
          <w:szCs w:val="22"/>
        </w:rPr>
        <w:t>DV and South Africa Telephony Transformation Programme</w:t>
      </w:r>
    </w:p>
    <w:p w:rsidR="00A318FB" w:rsidRPr="00E16E8F" w:rsidRDefault="00A318FB" w:rsidP="00A318FB">
      <w:pPr>
        <w:shd w:val="clear" w:color="auto" w:fill="FFFFFF" w:themeFill="background1"/>
        <w:spacing w:before="0" w:after="0" w:line="240" w:lineRule="auto"/>
        <w:jc w:val="both"/>
        <w:rPr>
          <w:rFonts w:cstheme="minorHAnsi"/>
          <w:szCs w:val="22"/>
        </w:rPr>
      </w:pPr>
      <w:r w:rsidRPr="00E16E8F">
        <w:rPr>
          <w:rFonts w:cstheme="minorHAnsi"/>
          <w:szCs w:val="22"/>
        </w:rPr>
        <w:t xml:space="preserve">Brought in to assist </w:t>
      </w:r>
      <w:r w:rsidR="00E16E8F" w:rsidRPr="00E16E8F">
        <w:rPr>
          <w:rFonts w:cstheme="minorHAnsi"/>
          <w:szCs w:val="22"/>
        </w:rPr>
        <w:t>on the Vincent Programme for</w:t>
      </w:r>
      <w:r w:rsidRPr="00E16E8F">
        <w:rPr>
          <w:rFonts w:cstheme="minorHAnsi"/>
          <w:szCs w:val="22"/>
        </w:rPr>
        <w:t xml:space="preserve"> the delivery of the Dearne Valley and South Africa Telephony Transformation project stage 4. This was the final upgrade of the Call Centres in both locations to the Avaya IP telephones which replaced the Lucent digital telephones that had been used previously by Telefonica. Provided assurance to both the PMO and Programme delivery board to ensure that the business was communicated </w:t>
      </w:r>
      <w:r w:rsidR="00E16E8F" w:rsidRPr="00E16E8F">
        <w:rPr>
          <w:rFonts w:cstheme="minorHAnsi"/>
          <w:szCs w:val="22"/>
        </w:rPr>
        <w:t xml:space="preserve">to </w:t>
      </w:r>
      <w:r w:rsidRPr="00E16E8F">
        <w:rPr>
          <w:rFonts w:cstheme="minorHAnsi"/>
          <w:szCs w:val="22"/>
        </w:rPr>
        <w:t xml:space="preserve">at all levels of the organisation of the </w:t>
      </w:r>
      <w:r w:rsidR="00E16E8F" w:rsidRPr="00E16E8F">
        <w:rPr>
          <w:rFonts w:cstheme="minorHAnsi"/>
          <w:szCs w:val="22"/>
        </w:rPr>
        <w:t xml:space="preserve">regulatory </w:t>
      </w:r>
      <w:r w:rsidRPr="00E16E8F">
        <w:rPr>
          <w:rFonts w:cstheme="minorHAnsi"/>
          <w:szCs w:val="22"/>
        </w:rPr>
        <w:t xml:space="preserve">importance of the Transformation of the Telephony systems that they had asked Capita to undertake as part of the </w:t>
      </w:r>
      <w:r w:rsidR="00E16E8F" w:rsidRPr="00E16E8F">
        <w:rPr>
          <w:rFonts w:cstheme="minorHAnsi"/>
          <w:szCs w:val="22"/>
        </w:rPr>
        <w:t xml:space="preserve">ongoing </w:t>
      </w:r>
      <w:r w:rsidRPr="00E16E8F">
        <w:rPr>
          <w:rFonts w:cstheme="minorHAnsi"/>
          <w:szCs w:val="22"/>
        </w:rPr>
        <w:t>02/Capita partnership.</w:t>
      </w:r>
    </w:p>
    <w:p w:rsidR="00A318FB" w:rsidRPr="00936643" w:rsidRDefault="00A318FB" w:rsidP="00A318FB">
      <w:pPr>
        <w:shd w:val="clear" w:color="auto" w:fill="FFFFFF" w:themeFill="background1"/>
        <w:spacing w:before="0" w:after="0" w:line="240" w:lineRule="auto"/>
        <w:rPr>
          <w:rFonts w:cstheme="minorHAnsi"/>
          <w:b/>
          <w:i/>
          <w:sz w:val="22"/>
          <w:szCs w:val="22"/>
        </w:rPr>
      </w:pPr>
    </w:p>
    <w:p w:rsidR="00A318FB" w:rsidRPr="00936643" w:rsidRDefault="00A318FB" w:rsidP="00A318FB">
      <w:pPr>
        <w:shd w:val="clear" w:color="auto" w:fill="FFFFFF" w:themeFill="background1"/>
        <w:spacing w:before="0" w:after="0" w:line="240" w:lineRule="auto"/>
        <w:rPr>
          <w:rFonts w:cstheme="minorHAnsi"/>
          <w:b/>
          <w:sz w:val="22"/>
          <w:szCs w:val="22"/>
        </w:rPr>
      </w:pPr>
      <w:r w:rsidRPr="00936643">
        <w:rPr>
          <w:rFonts w:cstheme="minorHAnsi"/>
          <w:b/>
          <w:color w:val="2E74B5" w:themeColor="accent1" w:themeShade="BF"/>
          <w:sz w:val="22"/>
          <w:szCs w:val="22"/>
        </w:rPr>
        <w:t>Department of Environment &amp; Climate Change (DECC</w:t>
      </w:r>
      <w:proofErr w:type="gramStart"/>
      <w:r w:rsidRPr="00936643">
        <w:rPr>
          <w:rFonts w:cstheme="minorHAnsi"/>
          <w:b/>
          <w:color w:val="2E74B5" w:themeColor="accent1" w:themeShade="BF"/>
          <w:sz w:val="22"/>
          <w:szCs w:val="22"/>
        </w:rPr>
        <w:t>)-</w:t>
      </w:r>
      <w:proofErr w:type="gramEnd"/>
      <w:r w:rsidRPr="00936643">
        <w:rPr>
          <w:rFonts w:cstheme="minorHAnsi"/>
          <w:b/>
          <w:color w:val="2E74B5" w:themeColor="accent1" w:themeShade="BF"/>
          <w:sz w:val="22"/>
          <w:szCs w:val="22"/>
        </w:rPr>
        <w:t xml:space="preserve"> </w:t>
      </w:r>
      <w:r w:rsidRPr="00936643">
        <w:rPr>
          <w:rFonts w:cstheme="minorHAnsi"/>
          <w:b/>
          <w:sz w:val="22"/>
          <w:szCs w:val="22"/>
        </w:rPr>
        <w:t>SharePoint Rationalisation and community take up</w:t>
      </w:r>
    </w:p>
    <w:p w:rsidR="004B36F7" w:rsidRPr="00E16E8F" w:rsidRDefault="00E16E8F" w:rsidP="00936643">
      <w:pPr>
        <w:shd w:val="clear" w:color="auto" w:fill="FFFFFF" w:themeFill="background1"/>
        <w:spacing w:before="0" w:after="0" w:line="240" w:lineRule="auto"/>
        <w:jc w:val="both"/>
        <w:rPr>
          <w:rFonts w:cstheme="minorHAnsi"/>
          <w:szCs w:val="22"/>
        </w:rPr>
      </w:pPr>
      <w:r w:rsidRPr="00E16E8F">
        <w:rPr>
          <w:rFonts w:cstheme="minorHAnsi"/>
          <w:szCs w:val="22"/>
        </w:rPr>
        <w:t xml:space="preserve">A </w:t>
      </w:r>
      <w:r w:rsidR="00A318FB" w:rsidRPr="00E16E8F">
        <w:rPr>
          <w:rFonts w:cstheme="minorHAnsi"/>
          <w:szCs w:val="22"/>
        </w:rPr>
        <w:t xml:space="preserve">Departmental initiative to enhance the current SharePoint </w:t>
      </w:r>
      <w:r w:rsidRPr="00E16E8F">
        <w:rPr>
          <w:rFonts w:cstheme="minorHAnsi"/>
          <w:szCs w:val="22"/>
        </w:rPr>
        <w:t xml:space="preserve">intranet </w:t>
      </w:r>
      <w:r w:rsidR="00A318FB" w:rsidRPr="00E16E8F">
        <w:rPr>
          <w:rFonts w:cstheme="minorHAnsi"/>
          <w:szCs w:val="22"/>
        </w:rPr>
        <w:t xml:space="preserve">usage across the </w:t>
      </w:r>
      <w:r w:rsidRPr="00E16E8F">
        <w:rPr>
          <w:rFonts w:cstheme="minorHAnsi"/>
          <w:szCs w:val="22"/>
        </w:rPr>
        <w:t xml:space="preserve">expanding </w:t>
      </w:r>
      <w:r w:rsidR="00A318FB" w:rsidRPr="00E16E8F">
        <w:rPr>
          <w:rFonts w:cstheme="minorHAnsi"/>
          <w:szCs w:val="22"/>
        </w:rPr>
        <w:t>organisation</w:t>
      </w:r>
      <w:r w:rsidRPr="00E16E8F">
        <w:rPr>
          <w:rFonts w:cstheme="minorHAnsi"/>
          <w:szCs w:val="22"/>
        </w:rPr>
        <w:t>.</w:t>
      </w:r>
      <w:r w:rsidR="00A318FB" w:rsidRPr="00E16E8F">
        <w:rPr>
          <w:rFonts w:cstheme="minorHAnsi"/>
          <w:szCs w:val="22"/>
        </w:rPr>
        <w:t xml:space="preserve"> </w:t>
      </w:r>
      <w:r w:rsidRPr="00E16E8F">
        <w:rPr>
          <w:rFonts w:cstheme="minorHAnsi"/>
          <w:szCs w:val="22"/>
        </w:rPr>
        <w:t>Allowing for the</w:t>
      </w:r>
      <w:r w:rsidR="00A318FB" w:rsidRPr="00E16E8F">
        <w:rPr>
          <w:rFonts w:cstheme="minorHAnsi"/>
          <w:szCs w:val="22"/>
        </w:rPr>
        <w:t xml:space="preserve"> default creation and maintenance of information being used internally/externally across departments from a single portal</w:t>
      </w:r>
      <w:r w:rsidRPr="00E16E8F">
        <w:rPr>
          <w:rFonts w:cstheme="minorHAnsi"/>
          <w:szCs w:val="22"/>
        </w:rPr>
        <w:t xml:space="preserve"> with access provided by both department devices and BYOD</w:t>
      </w:r>
      <w:r w:rsidR="00A318FB" w:rsidRPr="00E16E8F">
        <w:rPr>
          <w:rFonts w:cstheme="minorHAnsi"/>
          <w:szCs w:val="22"/>
        </w:rPr>
        <w:t xml:space="preserve">. Project managed the final run and retirement of the replaced document management system </w:t>
      </w:r>
      <w:r w:rsidRPr="00E16E8F">
        <w:rPr>
          <w:rFonts w:cstheme="minorHAnsi"/>
          <w:szCs w:val="22"/>
        </w:rPr>
        <w:t xml:space="preserve">called </w:t>
      </w:r>
      <w:r w:rsidR="00A318FB" w:rsidRPr="00E16E8F">
        <w:rPr>
          <w:rFonts w:cstheme="minorHAnsi"/>
          <w:szCs w:val="22"/>
        </w:rPr>
        <w:t xml:space="preserve">Matrix. Worked with </w:t>
      </w:r>
      <w:r w:rsidRPr="00E16E8F">
        <w:rPr>
          <w:rFonts w:cstheme="minorHAnsi"/>
          <w:szCs w:val="22"/>
        </w:rPr>
        <w:t xml:space="preserve">the </w:t>
      </w:r>
      <w:r w:rsidR="00A318FB" w:rsidRPr="00E16E8F">
        <w:rPr>
          <w:rFonts w:cstheme="minorHAnsi"/>
          <w:szCs w:val="22"/>
        </w:rPr>
        <w:t xml:space="preserve">suppliers and </w:t>
      </w:r>
      <w:r w:rsidRPr="00E16E8F">
        <w:rPr>
          <w:rFonts w:cstheme="minorHAnsi"/>
          <w:szCs w:val="22"/>
        </w:rPr>
        <w:t xml:space="preserve">the </w:t>
      </w:r>
      <w:r w:rsidR="00A318FB" w:rsidRPr="00E16E8F">
        <w:rPr>
          <w:rFonts w:cstheme="minorHAnsi"/>
          <w:szCs w:val="22"/>
        </w:rPr>
        <w:t xml:space="preserve">vendors to ensure that all </w:t>
      </w:r>
      <w:r w:rsidRPr="00E16E8F">
        <w:rPr>
          <w:rFonts w:cstheme="minorHAnsi"/>
          <w:szCs w:val="22"/>
        </w:rPr>
        <w:t xml:space="preserve">the </w:t>
      </w:r>
      <w:r w:rsidR="00A318FB" w:rsidRPr="00E16E8F">
        <w:rPr>
          <w:rFonts w:cstheme="minorHAnsi"/>
          <w:szCs w:val="22"/>
        </w:rPr>
        <w:t xml:space="preserve">documents that they had </w:t>
      </w:r>
      <w:r w:rsidRPr="00E16E8F">
        <w:rPr>
          <w:rFonts w:cstheme="minorHAnsi"/>
          <w:szCs w:val="22"/>
        </w:rPr>
        <w:t xml:space="preserve">been </w:t>
      </w:r>
      <w:r w:rsidR="00A318FB" w:rsidRPr="00E16E8F">
        <w:rPr>
          <w:rFonts w:cstheme="minorHAnsi"/>
          <w:szCs w:val="22"/>
        </w:rPr>
        <w:t>access</w:t>
      </w:r>
      <w:r w:rsidRPr="00E16E8F">
        <w:rPr>
          <w:rFonts w:cstheme="minorHAnsi"/>
          <w:szCs w:val="22"/>
        </w:rPr>
        <w:t>ed previously were now</w:t>
      </w:r>
      <w:r w:rsidR="00A318FB" w:rsidRPr="00E16E8F">
        <w:rPr>
          <w:rFonts w:cstheme="minorHAnsi"/>
          <w:szCs w:val="22"/>
        </w:rPr>
        <w:t xml:space="preserve"> secure and available via the extranet version of the DECC Portal.</w:t>
      </w:r>
    </w:p>
    <w:p w:rsidR="00A318FB" w:rsidRPr="004B36F7" w:rsidRDefault="00A318FB" w:rsidP="00936643">
      <w:pPr>
        <w:shd w:val="clear" w:color="auto" w:fill="FFFFFF" w:themeFill="background1"/>
        <w:spacing w:before="0" w:after="0" w:line="240" w:lineRule="auto"/>
        <w:jc w:val="both"/>
        <w:rPr>
          <w:rFonts w:cstheme="minorHAnsi"/>
          <w:sz w:val="22"/>
          <w:szCs w:val="22"/>
        </w:rPr>
      </w:pPr>
      <w:r w:rsidRPr="004B36F7">
        <w:rPr>
          <w:rFonts w:cstheme="minorHAnsi"/>
          <w:b/>
          <w:color w:val="2E74B5" w:themeColor="accent1" w:themeShade="BF"/>
          <w:sz w:val="22"/>
          <w:szCs w:val="22"/>
        </w:rPr>
        <w:lastRenderedPageBreak/>
        <w:t>Novartis, A.G</w:t>
      </w:r>
      <w:proofErr w:type="gramStart"/>
      <w:r w:rsidRPr="004B36F7">
        <w:rPr>
          <w:rFonts w:cstheme="minorHAnsi"/>
          <w:b/>
          <w:color w:val="2E74B5" w:themeColor="accent1" w:themeShade="BF"/>
          <w:sz w:val="22"/>
          <w:szCs w:val="22"/>
        </w:rPr>
        <w:t>.-</w:t>
      </w:r>
      <w:proofErr w:type="gramEnd"/>
      <w:r w:rsidRPr="004B36F7">
        <w:rPr>
          <w:rFonts w:cstheme="minorHAnsi"/>
          <w:b/>
          <w:color w:val="2E74B5" w:themeColor="accent1" w:themeShade="BF"/>
          <w:sz w:val="22"/>
          <w:szCs w:val="22"/>
        </w:rPr>
        <w:t xml:space="preserve">  </w:t>
      </w:r>
      <w:r w:rsidRPr="004B36F7">
        <w:rPr>
          <w:rFonts w:cstheme="minorHAnsi"/>
          <w:b/>
          <w:sz w:val="22"/>
          <w:szCs w:val="22"/>
        </w:rPr>
        <w:t>Harmonisation and Rationalisation of RAS Global Infrastructure</w:t>
      </w:r>
    </w:p>
    <w:p w:rsidR="00A318FB" w:rsidRPr="00E16E8F" w:rsidRDefault="00A318FB" w:rsidP="00A318FB">
      <w:pPr>
        <w:spacing w:before="0" w:after="0" w:line="240" w:lineRule="auto"/>
        <w:jc w:val="both"/>
        <w:rPr>
          <w:rFonts w:cstheme="minorHAnsi"/>
          <w:szCs w:val="22"/>
        </w:rPr>
      </w:pPr>
      <w:r w:rsidRPr="00E16E8F">
        <w:rPr>
          <w:rFonts w:cstheme="minorHAnsi"/>
          <w:szCs w:val="22"/>
        </w:rPr>
        <w:t>A Global programme to take 5 existing Rem</w:t>
      </w:r>
      <w:r w:rsidR="00E16E8F">
        <w:rPr>
          <w:rFonts w:cstheme="minorHAnsi"/>
          <w:szCs w:val="22"/>
        </w:rPr>
        <w:t>ote Access Services which covered</w:t>
      </w:r>
      <w:r w:rsidRPr="00E16E8F">
        <w:rPr>
          <w:rFonts w:cstheme="minorHAnsi"/>
          <w:szCs w:val="22"/>
        </w:rPr>
        <w:t xml:space="preserve"> 150,000 users in 140 countries, into a single managed RAS using browser based and VPN type connections. The Technology that was to be replaced was from Juniper, Microsoft Direct Access, Checkpoint and </w:t>
      </w:r>
      <w:r w:rsidR="00E16E8F">
        <w:rPr>
          <w:rFonts w:cstheme="minorHAnsi"/>
          <w:szCs w:val="22"/>
        </w:rPr>
        <w:t xml:space="preserve">internal </w:t>
      </w:r>
      <w:r w:rsidRPr="00E16E8F">
        <w:rPr>
          <w:rFonts w:cstheme="minorHAnsi"/>
          <w:szCs w:val="22"/>
        </w:rPr>
        <w:t xml:space="preserve">company built applications. The hardware that needed to be supported from a client perspective was Apple, Android and traditional Microsoft operating system laptops/tablets. The project had a global team of 25 active project team members ranging from Technical Architects, to Business Analysts and Technical Writers. </w:t>
      </w:r>
    </w:p>
    <w:p w:rsidR="00FD5F4F" w:rsidRPr="00E16E8F" w:rsidRDefault="00FD5F4F" w:rsidP="00A318FB">
      <w:pPr>
        <w:spacing w:before="0" w:after="0" w:line="240" w:lineRule="auto"/>
        <w:jc w:val="both"/>
        <w:rPr>
          <w:rFonts w:cstheme="minorHAnsi"/>
          <w:szCs w:val="22"/>
        </w:rPr>
      </w:pPr>
    </w:p>
    <w:p w:rsidR="00A318FB" w:rsidRPr="00E16E8F" w:rsidRDefault="00A318FB" w:rsidP="00A318FB">
      <w:pPr>
        <w:spacing w:before="0" w:after="0" w:line="240" w:lineRule="auto"/>
        <w:jc w:val="both"/>
        <w:rPr>
          <w:rFonts w:cstheme="minorHAnsi"/>
          <w:szCs w:val="22"/>
        </w:rPr>
      </w:pPr>
      <w:r w:rsidRPr="00E16E8F">
        <w:rPr>
          <w:rFonts w:cstheme="minorHAnsi"/>
          <w:szCs w:val="22"/>
        </w:rPr>
        <w:t xml:space="preserve">The project followed the Novartis ICE Methodology which is a combination of Prince 2 and Six Sigma. </w:t>
      </w:r>
      <w:r w:rsidR="00D64F40">
        <w:rPr>
          <w:rFonts w:cstheme="minorHAnsi"/>
          <w:szCs w:val="22"/>
        </w:rPr>
        <w:t>I</w:t>
      </w:r>
      <w:r w:rsidRPr="00E16E8F">
        <w:rPr>
          <w:rFonts w:cstheme="minorHAnsi"/>
          <w:szCs w:val="22"/>
        </w:rPr>
        <w:t xml:space="preserve">t was my role to provide all of the usual project management responsibilities based on the ICE Methodology including taking the additional responsibility of taking lead in the Voice of the Customer analysis with a variety of end user groups/communities. Reporting directly to the Steering Board and ensuring that the budget and time / deliverables were kept to the agreed parameters. The project team were based in Fort Worth; Texas, East Hanover; New Jersey, Basel; Switzerland and Prague; Czech Republic. </w:t>
      </w:r>
      <w:r w:rsidRPr="00E16E8F">
        <w:rPr>
          <w:rFonts w:cstheme="minorHAnsi"/>
          <w:color w:val="000000" w:themeColor="text1"/>
          <w:szCs w:val="22"/>
        </w:rPr>
        <w:t xml:space="preserve">Project Budget in excess 5 million USD </w:t>
      </w:r>
    </w:p>
    <w:p w:rsidR="00A318FB" w:rsidRPr="004B36F7" w:rsidRDefault="00A318FB" w:rsidP="00A318FB">
      <w:pPr>
        <w:spacing w:before="0" w:after="0" w:line="240" w:lineRule="auto"/>
        <w:jc w:val="both"/>
        <w:rPr>
          <w:rFonts w:cstheme="minorHAnsi"/>
          <w:sz w:val="22"/>
          <w:szCs w:val="22"/>
        </w:rPr>
      </w:pPr>
    </w:p>
    <w:p w:rsidR="00A318FB" w:rsidRPr="004B36F7" w:rsidRDefault="00A318FB" w:rsidP="00A318FB">
      <w:pPr>
        <w:spacing w:before="0" w:after="0" w:line="240" w:lineRule="auto"/>
        <w:rPr>
          <w:rFonts w:cstheme="minorHAnsi"/>
          <w:b/>
          <w:sz w:val="22"/>
          <w:szCs w:val="22"/>
        </w:rPr>
      </w:pPr>
      <w:r w:rsidRPr="004B36F7">
        <w:rPr>
          <w:rFonts w:cstheme="minorHAnsi"/>
          <w:b/>
          <w:sz w:val="22"/>
          <w:szCs w:val="22"/>
        </w:rPr>
        <w:t>Global Data Centre- LAN Segmentation – Implementation of HP IPS tipping Point and Cisco Firewalls</w:t>
      </w:r>
    </w:p>
    <w:p w:rsidR="00A318FB" w:rsidRPr="00E16E8F" w:rsidRDefault="00A318FB" w:rsidP="00A318FB">
      <w:pPr>
        <w:spacing w:before="0" w:after="0" w:line="240" w:lineRule="auto"/>
        <w:jc w:val="both"/>
        <w:rPr>
          <w:rFonts w:cstheme="minorHAnsi"/>
          <w:szCs w:val="22"/>
        </w:rPr>
      </w:pPr>
      <w:r w:rsidRPr="00E16E8F">
        <w:rPr>
          <w:rFonts w:cstheme="minorHAnsi"/>
          <w:szCs w:val="22"/>
        </w:rPr>
        <w:t xml:space="preserve">Due to the growing increase in network traffic and the business requirement for a more modern approach to Application delivery both for Office Automation and Manufacturing processes, this programme was agreed with the global project board to provide a combination of Firewalls and IPS (Intruder Prevention System) to all Global Data Centres in East Hanover, Singapore, Klybeck (Basel) and Stein. The project used a variety of 3rd parties to provide the hardware and the installation. </w:t>
      </w:r>
    </w:p>
    <w:p w:rsidR="00FD5F4F" w:rsidRPr="00E16E8F" w:rsidRDefault="00FD5F4F" w:rsidP="00A318FB">
      <w:pPr>
        <w:spacing w:before="0" w:after="0" w:line="240" w:lineRule="auto"/>
        <w:jc w:val="both"/>
        <w:rPr>
          <w:rFonts w:cstheme="minorHAnsi"/>
          <w:szCs w:val="22"/>
        </w:rPr>
      </w:pPr>
    </w:p>
    <w:p w:rsidR="00A318FB" w:rsidRPr="00E16E8F" w:rsidRDefault="00480454" w:rsidP="00A318FB">
      <w:pPr>
        <w:spacing w:before="0" w:after="0" w:line="240" w:lineRule="auto"/>
        <w:jc w:val="both"/>
        <w:rPr>
          <w:rFonts w:cstheme="minorHAnsi"/>
          <w:szCs w:val="22"/>
        </w:rPr>
      </w:pPr>
      <w:r>
        <w:rPr>
          <w:rFonts w:cstheme="minorHAnsi"/>
          <w:szCs w:val="22"/>
        </w:rPr>
        <w:t>M</w:t>
      </w:r>
      <w:r w:rsidR="00D64F40">
        <w:rPr>
          <w:rFonts w:cstheme="minorHAnsi"/>
          <w:szCs w:val="22"/>
        </w:rPr>
        <w:t>anaged a global team of 4</w:t>
      </w:r>
      <w:r w:rsidR="00A318FB" w:rsidRPr="00E16E8F">
        <w:rPr>
          <w:rFonts w:cstheme="minorHAnsi"/>
          <w:szCs w:val="22"/>
        </w:rPr>
        <w:t xml:space="preserve">5 members based at the above locations in addition to Prague, Czech Republic were the project manager and project support team were based. The hardware chosen was a combination of Cisco and HP. The Firewalls are managed by BT (British Telecom) and the IPS managed by the global network support team based in Fort Worth, Texas. The delivery of hardware had an aggressive timeline as it had to be delivered before the financial year end. This was managed successfully </w:t>
      </w:r>
      <w:r w:rsidR="00456B2F" w:rsidRPr="00E16E8F">
        <w:rPr>
          <w:rFonts w:cstheme="minorHAnsi"/>
          <w:szCs w:val="22"/>
        </w:rPr>
        <w:t xml:space="preserve">in collaboration with </w:t>
      </w:r>
      <w:r w:rsidR="00D64F40">
        <w:rPr>
          <w:rFonts w:cstheme="minorHAnsi"/>
          <w:szCs w:val="22"/>
        </w:rPr>
        <w:t>vendor account director</w:t>
      </w:r>
      <w:r w:rsidR="00A318FB" w:rsidRPr="00E16E8F">
        <w:rPr>
          <w:rFonts w:cstheme="minorHAnsi"/>
          <w:szCs w:val="22"/>
        </w:rPr>
        <w:t xml:space="preserve"> who used express courier services to get the hardware delivered before the due date. </w:t>
      </w:r>
    </w:p>
    <w:p w:rsidR="00A318FB" w:rsidRPr="004B36F7" w:rsidRDefault="00A318FB" w:rsidP="00A318FB">
      <w:pPr>
        <w:spacing w:before="0" w:after="0" w:line="240" w:lineRule="auto"/>
        <w:jc w:val="both"/>
        <w:rPr>
          <w:rFonts w:cstheme="minorHAnsi"/>
          <w:sz w:val="22"/>
          <w:szCs w:val="22"/>
        </w:rPr>
      </w:pPr>
    </w:p>
    <w:p w:rsidR="00A318FB" w:rsidRPr="004B36F7" w:rsidRDefault="00A318FB" w:rsidP="00A318FB">
      <w:pPr>
        <w:shd w:val="clear" w:color="auto" w:fill="FFFFFF" w:themeFill="background1"/>
        <w:spacing w:before="0" w:after="0" w:line="240" w:lineRule="auto"/>
        <w:rPr>
          <w:rFonts w:cstheme="minorHAnsi"/>
          <w:b/>
          <w:sz w:val="22"/>
          <w:szCs w:val="22"/>
        </w:rPr>
      </w:pPr>
      <w:r w:rsidRPr="004B36F7">
        <w:rPr>
          <w:rFonts w:cstheme="minorHAnsi"/>
          <w:b/>
          <w:color w:val="2E74B5" w:themeColor="accent1" w:themeShade="BF"/>
          <w:sz w:val="22"/>
          <w:szCs w:val="22"/>
        </w:rPr>
        <w:t xml:space="preserve">Amey Plc- </w:t>
      </w:r>
      <w:r w:rsidRPr="004B36F7">
        <w:rPr>
          <w:rFonts w:cstheme="minorHAnsi"/>
          <w:b/>
          <w:sz w:val="22"/>
          <w:szCs w:val="22"/>
        </w:rPr>
        <w:t>SharePoint – Documentum replacement</w:t>
      </w:r>
    </w:p>
    <w:p w:rsidR="00A318FB" w:rsidRPr="00D64F40" w:rsidRDefault="00D64F40" w:rsidP="00A318FB">
      <w:pPr>
        <w:spacing w:before="0" w:after="0" w:line="240" w:lineRule="auto"/>
        <w:jc w:val="both"/>
        <w:rPr>
          <w:rFonts w:cstheme="minorHAnsi"/>
          <w:szCs w:val="22"/>
        </w:rPr>
      </w:pPr>
      <w:r>
        <w:rPr>
          <w:rFonts w:cstheme="minorHAnsi"/>
          <w:szCs w:val="22"/>
        </w:rPr>
        <w:t>Implemented and managed the</w:t>
      </w:r>
      <w:r w:rsidR="00A318FB" w:rsidRPr="00D64F40">
        <w:rPr>
          <w:rFonts w:cstheme="minorHAnsi"/>
          <w:szCs w:val="22"/>
        </w:rPr>
        <w:t xml:space="preserve"> 3rd Party Cap Gemini in providing a Documentum replacement using Microsoft Technologies including MS Office 2010 and SharePoint 2010 to the Amey Group of companies. This included providing mentoring to the Business Project Manager and holding </w:t>
      </w:r>
      <w:r>
        <w:rPr>
          <w:rFonts w:cstheme="minorHAnsi"/>
          <w:szCs w:val="22"/>
        </w:rPr>
        <w:t xml:space="preserve">regular </w:t>
      </w:r>
      <w:r w:rsidR="00A318FB" w:rsidRPr="00D64F40">
        <w:rPr>
          <w:rFonts w:cstheme="minorHAnsi"/>
          <w:szCs w:val="22"/>
        </w:rPr>
        <w:t xml:space="preserve">Red Reviews and Action Plan meetings as the project was already in delay before being engaged. Established </w:t>
      </w:r>
      <w:r>
        <w:rPr>
          <w:rFonts w:cstheme="minorHAnsi"/>
          <w:szCs w:val="22"/>
        </w:rPr>
        <w:t xml:space="preserve">strict </w:t>
      </w:r>
      <w:r w:rsidR="00A318FB" w:rsidRPr="00D64F40">
        <w:rPr>
          <w:rFonts w:cstheme="minorHAnsi"/>
          <w:szCs w:val="22"/>
        </w:rPr>
        <w:t xml:space="preserve">change control of </w:t>
      </w:r>
      <w:r>
        <w:rPr>
          <w:rFonts w:cstheme="minorHAnsi"/>
          <w:szCs w:val="22"/>
        </w:rPr>
        <w:t xml:space="preserve">the </w:t>
      </w:r>
      <w:r w:rsidR="00A318FB" w:rsidRPr="00D64F40">
        <w:rPr>
          <w:rFonts w:cstheme="minorHAnsi"/>
          <w:szCs w:val="22"/>
        </w:rPr>
        <w:t>development and ensured that the Pilot</w:t>
      </w:r>
      <w:r>
        <w:rPr>
          <w:rFonts w:cstheme="minorHAnsi"/>
          <w:szCs w:val="22"/>
        </w:rPr>
        <w:t xml:space="preserve"> and subsequent migration</w:t>
      </w:r>
      <w:r w:rsidR="00A318FB" w:rsidRPr="00D64F40">
        <w:rPr>
          <w:rFonts w:cstheme="minorHAnsi"/>
          <w:szCs w:val="22"/>
        </w:rPr>
        <w:t xml:space="preserve"> ran to the governance protocols created </w:t>
      </w:r>
      <w:r>
        <w:rPr>
          <w:rFonts w:cstheme="minorHAnsi"/>
          <w:szCs w:val="22"/>
        </w:rPr>
        <w:t xml:space="preserve">and enhanced </w:t>
      </w:r>
      <w:r w:rsidR="00A318FB" w:rsidRPr="00D64F40">
        <w:rPr>
          <w:rFonts w:cstheme="minorHAnsi"/>
          <w:szCs w:val="22"/>
        </w:rPr>
        <w:t xml:space="preserve">by local team. </w:t>
      </w:r>
    </w:p>
    <w:p w:rsidR="00A318FB" w:rsidRPr="004B36F7" w:rsidRDefault="00A318FB" w:rsidP="00A318FB">
      <w:pPr>
        <w:spacing w:before="0" w:after="0" w:line="240" w:lineRule="auto"/>
        <w:jc w:val="both"/>
        <w:rPr>
          <w:rFonts w:cstheme="minorHAnsi"/>
          <w:sz w:val="22"/>
          <w:szCs w:val="22"/>
        </w:rPr>
      </w:pPr>
    </w:p>
    <w:p w:rsidR="00A318FB" w:rsidRPr="004B36F7" w:rsidRDefault="00A318FB" w:rsidP="00A318FB">
      <w:pPr>
        <w:tabs>
          <w:tab w:val="left" w:pos="9641"/>
        </w:tabs>
        <w:spacing w:before="0" w:after="0" w:line="240" w:lineRule="auto"/>
        <w:rPr>
          <w:rFonts w:cstheme="minorHAnsi"/>
          <w:b/>
          <w:sz w:val="22"/>
          <w:szCs w:val="22"/>
        </w:rPr>
      </w:pPr>
      <w:r w:rsidRPr="004B36F7">
        <w:rPr>
          <w:rFonts w:cstheme="minorHAnsi"/>
          <w:b/>
          <w:sz w:val="22"/>
          <w:szCs w:val="22"/>
        </w:rPr>
        <w:t>Standard Operating Model (SOM) – PFI and non PFI contracts</w:t>
      </w:r>
    </w:p>
    <w:p w:rsidR="00A318FB" w:rsidRPr="00D64F40" w:rsidRDefault="00D64F40" w:rsidP="00A318FB">
      <w:pPr>
        <w:tabs>
          <w:tab w:val="left" w:pos="9641"/>
        </w:tabs>
        <w:spacing w:before="0" w:after="0" w:line="240" w:lineRule="auto"/>
        <w:jc w:val="both"/>
        <w:rPr>
          <w:rFonts w:cstheme="minorHAnsi"/>
          <w:szCs w:val="22"/>
        </w:rPr>
      </w:pPr>
      <w:r w:rsidRPr="00D64F40">
        <w:rPr>
          <w:rFonts w:cstheme="minorHAnsi"/>
          <w:szCs w:val="22"/>
        </w:rPr>
        <w:t>Delivered</w:t>
      </w:r>
      <w:r w:rsidR="00A318FB" w:rsidRPr="00D64F40">
        <w:rPr>
          <w:rFonts w:cstheme="minorHAnsi"/>
          <w:szCs w:val="22"/>
        </w:rPr>
        <w:t xml:space="preserve"> the 3rd Party Information Technology ele</w:t>
      </w:r>
      <w:r w:rsidRPr="00D64F40">
        <w:rPr>
          <w:rFonts w:cstheme="minorHAnsi"/>
          <w:szCs w:val="22"/>
        </w:rPr>
        <w:t xml:space="preserve">ment of this transformation programme. Provided daily man </w:t>
      </w:r>
      <w:r w:rsidR="00A318FB" w:rsidRPr="00D64F40">
        <w:rPr>
          <w:rFonts w:cstheme="minorHAnsi"/>
          <w:szCs w:val="22"/>
        </w:rPr>
        <w:t>managemen</w:t>
      </w:r>
      <w:r w:rsidRPr="00D64F40">
        <w:rPr>
          <w:rFonts w:cstheme="minorHAnsi"/>
          <w:szCs w:val="22"/>
        </w:rPr>
        <w:t>t of the technology work stream which included working w</w:t>
      </w:r>
      <w:r w:rsidR="00A318FB" w:rsidRPr="00D64F40">
        <w:rPr>
          <w:rFonts w:cstheme="minorHAnsi"/>
          <w:szCs w:val="22"/>
        </w:rPr>
        <w:t xml:space="preserve">ith the </w:t>
      </w:r>
      <w:r w:rsidRPr="00D64F40">
        <w:rPr>
          <w:rFonts w:cstheme="minorHAnsi"/>
          <w:szCs w:val="22"/>
        </w:rPr>
        <w:t xml:space="preserve">Global </w:t>
      </w:r>
      <w:r w:rsidR="00A318FB" w:rsidRPr="00D64F40">
        <w:rPr>
          <w:rFonts w:cstheme="minorHAnsi"/>
          <w:szCs w:val="22"/>
        </w:rPr>
        <w:t xml:space="preserve">Programme Director and Executive </w:t>
      </w:r>
      <w:r w:rsidRPr="00D64F40">
        <w:rPr>
          <w:rFonts w:cstheme="minorHAnsi"/>
          <w:szCs w:val="22"/>
        </w:rPr>
        <w:t xml:space="preserve">Steering </w:t>
      </w:r>
      <w:r w:rsidR="00A318FB" w:rsidRPr="00D64F40">
        <w:rPr>
          <w:rFonts w:cstheme="minorHAnsi"/>
          <w:szCs w:val="22"/>
        </w:rPr>
        <w:t>Group. Agreed to provide weekly updates for all 3rd party suppliers to ensure they adhered to their agreed deliverables and rollout plan</w:t>
      </w:r>
      <w:r w:rsidRPr="00D64F40">
        <w:rPr>
          <w:rFonts w:cstheme="minorHAnsi"/>
          <w:szCs w:val="22"/>
        </w:rPr>
        <w:t>s</w:t>
      </w:r>
      <w:r w:rsidR="00A318FB" w:rsidRPr="00D64F40">
        <w:rPr>
          <w:rFonts w:cstheme="minorHAnsi"/>
          <w:szCs w:val="22"/>
        </w:rPr>
        <w:t>. This included the use of mobile devices so that the operations personnel could be provided with accurate and information changes for their work schedules</w:t>
      </w:r>
    </w:p>
    <w:p w:rsidR="00A318FB" w:rsidRPr="004B36F7" w:rsidRDefault="00A318FB" w:rsidP="00A318FB">
      <w:pPr>
        <w:spacing w:before="0" w:after="0" w:line="240" w:lineRule="auto"/>
        <w:jc w:val="both"/>
        <w:rPr>
          <w:rFonts w:cstheme="minorHAnsi"/>
          <w:sz w:val="22"/>
          <w:szCs w:val="22"/>
        </w:rPr>
      </w:pPr>
    </w:p>
    <w:p w:rsidR="00A318FB" w:rsidRPr="004B36F7" w:rsidRDefault="00A318FB" w:rsidP="00A318FB">
      <w:pPr>
        <w:shd w:val="clear" w:color="auto" w:fill="FFFFFF" w:themeFill="background1"/>
        <w:spacing w:before="0" w:after="0" w:line="240" w:lineRule="auto"/>
        <w:rPr>
          <w:rFonts w:cstheme="minorHAnsi"/>
          <w:b/>
          <w:i/>
          <w:sz w:val="22"/>
          <w:szCs w:val="22"/>
        </w:rPr>
      </w:pPr>
      <w:r w:rsidRPr="004B36F7">
        <w:rPr>
          <w:rFonts w:cstheme="minorHAnsi"/>
          <w:b/>
          <w:color w:val="2E74B5" w:themeColor="accent1" w:themeShade="BF"/>
          <w:sz w:val="22"/>
          <w:szCs w:val="22"/>
        </w:rPr>
        <w:t xml:space="preserve">Cherwell District Council- </w:t>
      </w:r>
      <w:r w:rsidRPr="004B36F7">
        <w:rPr>
          <w:rFonts w:cstheme="minorHAnsi"/>
          <w:b/>
          <w:sz w:val="22"/>
          <w:szCs w:val="22"/>
        </w:rPr>
        <w:t>On boarding of Service and Help Desk for local council</w:t>
      </w:r>
    </w:p>
    <w:p w:rsidR="00A318FB" w:rsidRPr="00D64F40" w:rsidRDefault="00480454" w:rsidP="00A318FB">
      <w:pPr>
        <w:tabs>
          <w:tab w:val="left" w:pos="9641"/>
        </w:tabs>
        <w:spacing w:before="0" w:after="0" w:line="240" w:lineRule="auto"/>
        <w:jc w:val="both"/>
        <w:rPr>
          <w:rFonts w:cstheme="minorHAnsi"/>
          <w:szCs w:val="22"/>
        </w:rPr>
      </w:pPr>
      <w:r>
        <w:rPr>
          <w:rFonts w:cstheme="minorHAnsi"/>
          <w:szCs w:val="22"/>
        </w:rPr>
        <w:t>Managed</w:t>
      </w:r>
      <w:r w:rsidR="00A318FB" w:rsidRPr="00D64F40">
        <w:rPr>
          <w:rFonts w:cstheme="minorHAnsi"/>
          <w:szCs w:val="22"/>
        </w:rPr>
        <w:t xml:space="preserve"> the on boarding of the </w:t>
      </w:r>
      <w:r>
        <w:rPr>
          <w:rFonts w:cstheme="minorHAnsi"/>
          <w:szCs w:val="22"/>
        </w:rPr>
        <w:t>helpdesk service and</w:t>
      </w:r>
      <w:r w:rsidR="00D64F40" w:rsidRPr="00D64F40">
        <w:rPr>
          <w:rFonts w:cstheme="minorHAnsi"/>
          <w:szCs w:val="22"/>
        </w:rPr>
        <w:t xml:space="preserve"> </w:t>
      </w:r>
      <w:r w:rsidR="00A318FB" w:rsidRPr="00D64F40">
        <w:rPr>
          <w:rFonts w:cstheme="minorHAnsi"/>
          <w:szCs w:val="22"/>
        </w:rPr>
        <w:t xml:space="preserve">helpdesk </w:t>
      </w:r>
      <w:r>
        <w:rPr>
          <w:rFonts w:cstheme="minorHAnsi"/>
          <w:szCs w:val="22"/>
        </w:rPr>
        <w:t xml:space="preserve">staff </w:t>
      </w:r>
      <w:r w:rsidR="00A318FB" w:rsidRPr="00D64F40">
        <w:rPr>
          <w:rFonts w:cstheme="minorHAnsi"/>
          <w:szCs w:val="22"/>
        </w:rPr>
        <w:t>from Capita Services to the i</w:t>
      </w:r>
      <w:r w:rsidR="00D64F40" w:rsidRPr="00D64F40">
        <w:rPr>
          <w:rFonts w:cstheme="minorHAnsi"/>
          <w:szCs w:val="22"/>
        </w:rPr>
        <w:t>n-house support teams. Provided</w:t>
      </w:r>
      <w:r w:rsidR="00A318FB" w:rsidRPr="00D64F40">
        <w:rPr>
          <w:rFonts w:cstheme="minorHAnsi"/>
          <w:szCs w:val="22"/>
        </w:rPr>
        <w:t xml:space="preserve"> mentoring assistance to the teams to ensure that project </w:t>
      </w:r>
      <w:r w:rsidR="00FD5F4F" w:rsidRPr="00D64F40">
        <w:rPr>
          <w:rFonts w:cstheme="minorHAnsi"/>
          <w:szCs w:val="22"/>
        </w:rPr>
        <w:t>was on time and within budget achieving a s</w:t>
      </w:r>
      <w:r w:rsidR="00A318FB" w:rsidRPr="00D64F40">
        <w:rPr>
          <w:rFonts w:cstheme="minorHAnsi"/>
          <w:szCs w:val="22"/>
        </w:rPr>
        <w:t>uccessful go live with no incidents. Information Technology Group were provided with the bare minimum of incidents from outgoing supplier Capita Services due to call clearing exercise undertaken 3 months before go live.</w:t>
      </w:r>
    </w:p>
    <w:p w:rsidR="00A318FB" w:rsidRPr="004B36F7" w:rsidRDefault="00A318FB" w:rsidP="00A318FB">
      <w:pPr>
        <w:spacing w:before="0" w:after="0" w:line="240" w:lineRule="auto"/>
        <w:jc w:val="both"/>
        <w:rPr>
          <w:rFonts w:cstheme="minorHAnsi"/>
          <w:sz w:val="22"/>
          <w:szCs w:val="22"/>
        </w:rPr>
      </w:pPr>
    </w:p>
    <w:p w:rsidR="00A318FB" w:rsidRPr="004B36F7" w:rsidRDefault="00A318FB" w:rsidP="00A318FB">
      <w:pPr>
        <w:shd w:val="clear" w:color="auto" w:fill="FFFFFF" w:themeFill="background1"/>
        <w:spacing w:before="0" w:after="0" w:line="240" w:lineRule="auto"/>
        <w:rPr>
          <w:rFonts w:cstheme="minorHAnsi"/>
          <w:b/>
          <w:sz w:val="22"/>
          <w:szCs w:val="22"/>
        </w:rPr>
      </w:pPr>
      <w:r w:rsidRPr="004B36F7">
        <w:rPr>
          <w:rFonts w:cstheme="minorHAnsi"/>
          <w:b/>
          <w:color w:val="2E74B5" w:themeColor="accent1" w:themeShade="BF"/>
          <w:sz w:val="22"/>
          <w:szCs w:val="22"/>
        </w:rPr>
        <w:t>Essex County Council (ECC</w:t>
      </w:r>
      <w:proofErr w:type="gramStart"/>
      <w:r w:rsidRPr="004B36F7">
        <w:rPr>
          <w:rFonts w:cstheme="minorHAnsi"/>
          <w:b/>
          <w:color w:val="2E74B5" w:themeColor="accent1" w:themeShade="BF"/>
          <w:sz w:val="22"/>
          <w:szCs w:val="22"/>
        </w:rPr>
        <w:t>)-</w:t>
      </w:r>
      <w:proofErr w:type="gramEnd"/>
      <w:r w:rsidRPr="004B36F7">
        <w:rPr>
          <w:rFonts w:cstheme="minorHAnsi"/>
          <w:b/>
          <w:color w:val="2E74B5" w:themeColor="accent1" w:themeShade="BF"/>
          <w:sz w:val="22"/>
          <w:szCs w:val="22"/>
        </w:rPr>
        <w:t xml:space="preserve"> </w:t>
      </w:r>
      <w:r w:rsidRPr="004B36F7">
        <w:rPr>
          <w:rFonts w:cstheme="minorHAnsi"/>
          <w:b/>
          <w:sz w:val="22"/>
          <w:szCs w:val="22"/>
        </w:rPr>
        <w:t>Desktop and Laptop Windows 7 rollout</w:t>
      </w:r>
    </w:p>
    <w:p w:rsidR="00A318FB" w:rsidRPr="00D64F40" w:rsidRDefault="00A318FB" w:rsidP="00FD5F4F">
      <w:pPr>
        <w:tabs>
          <w:tab w:val="left" w:pos="9641"/>
        </w:tabs>
        <w:spacing w:before="0" w:after="0" w:line="240" w:lineRule="auto"/>
        <w:jc w:val="both"/>
        <w:rPr>
          <w:rFonts w:cstheme="minorHAnsi"/>
          <w:szCs w:val="22"/>
        </w:rPr>
      </w:pPr>
      <w:r w:rsidRPr="00D64F40">
        <w:rPr>
          <w:rFonts w:cstheme="minorHAnsi"/>
          <w:szCs w:val="22"/>
        </w:rPr>
        <w:t>Full desktop and Laptop upgrade from Windows XP and Office XP to Windows 7 and Office 2010 at various locations across the ECC campus for an estimated 10,000+ users. Project managed the migration of accounts and the training of users to the new facilities being offered to desktop and laptop (remote) workers. Worked with 3rd parties to ensure that they delivered to the overall programme deadlines, this included the negations of the Microsoft Licenses for ECC.</w:t>
      </w:r>
    </w:p>
    <w:p w:rsidR="00456B2F" w:rsidRDefault="00456B2F" w:rsidP="00A318FB">
      <w:pPr>
        <w:shd w:val="clear" w:color="auto" w:fill="FFFFFF" w:themeFill="background1"/>
        <w:spacing w:before="0" w:after="0" w:line="240" w:lineRule="auto"/>
        <w:rPr>
          <w:rFonts w:cstheme="minorHAnsi"/>
          <w:b/>
          <w:color w:val="2E74B5" w:themeColor="accent1" w:themeShade="BF"/>
          <w:sz w:val="22"/>
          <w:szCs w:val="22"/>
        </w:rPr>
      </w:pPr>
    </w:p>
    <w:p w:rsidR="00A318FB" w:rsidRPr="004B36F7" w:rsidRDefault="00A318FB" w:rsidP="00A318FB">
      <w:pPr>
        <w:shd w:val="clear" w:color="auto" w:fill="FFFFFF" w:themeFill="background1"/>
        <w:spacing w:before="0" w:after="0" w:line="240" w:lineRule="auto"/>
        <w:rPr>
          <w:rFonts w:cstheme="minorHAnsi"/>
          <w:b/>
          <w:i/>
          <w:sz w:val="22"/>
          <w:szCs w:val="22"/>
        </w:rPr>
      </w:pPr>
      <w:r w:rsidRPr="004B36F7">
        <w:rPr>
          <w:rFonts w:cstheme="minorHAnsi"/>
          <w:b/>
          <w:color w:val="2E74B5" w:themeColor="accent1" w:themeShade="BF"/>
          <w:sz w:val="22"/>
          <w:szCs w:val="22"/>
        </w:rPr>
        <w:t xml:space="preserve">Her Majesty’s Home Office- </w:t>
      </w:r>
      <w:r w:rsidRPr="004B36F7">
        <w:rPr>
          <w:rFonts w:cstheme="minorHAnsi"/>
          <w:b/>
          <w:sz w:val="22"/>
          <w:szCs w:val="22"/>
        </w:rPr>
        <w:t>Extend and Blend Programme</w:t>
      </w:r>
    </w:p>
    <w:p w:rsidR="00A318FB" w:rsidRPr="004B36F7" w:rsidRDefault="00A318FB" w:rsidP="00A318FB">
      <w:pPr>
        <w:shd w:val="clear" w:color="auto" w:fill="FFFFFF" w:themeFill="background1"/>
        <w:spacing w:before="0" w:after="0" w:line="240" w:lineRule="auto"/>
        <w:rPr>
          <w:rFonts w:cstheme="minorHAnsi"/>
          <w:b/>
          <w:sz w:val="22"/>
          <w:szCs w:val="22"/>
        </w:rPr>
      </w:pPr>
      <w:r w:rsidRPr="004B36F7">
        <w:rPr>
          <w:rFonts w:cstheme="minorHAnsi"/>
          <w:b/>
          <w:sz w:val="22"/>
          <w:szCs w:val="22"/>
        </w:rPr>
        <w:t xml:space="preserve">Standardisation of the Desktop and Laptop environments using Citrix and Virtual Desktops </w:t>
      </w:r>
    </w:p>
    <w:p w:rsidR="00456B2F" w:rsidRPr="00D64F40" w:rsidRDefault="00A318FB" w:rsidP="00456B2F">
      <w:pPr>
        <w:spacing w:before="0" w:after="0" w:line="240" w:lineRule="auto"/>
        <w:jc w:val="both"/>
        <w:rPr>
          <w:b/>
          <w:color w:val="323E4F" w:themeColor="text2" w:themeShade="BF"/>
          <w:sz w:val="22"/>
          <w:szCs w:val="24"/>
        </w:rPr>
      </w:pPr>
      <w:r w:rsidRPr="00D64F40">
        <w:rPr>
          <w:rFonts w:cstheme="minorHAnsi"/>
          <w:szCs w:val="22"/>
        </w:rPr>
        <w:t xml:space="preserve">Responsible for the design, test and delivery of the SIPs Programmes, which included the merging of three separate Helpdesk </w:t>
      </w:r>
      <w:r w:rsidR="00480454">
        <w:rPr>
          <w:rFonts w:cstheme="minorHAnsi"/>
          <w:szCs w:val="22"/>
        </w:rPr>
        <w:t>systems into one which allowed for</w:t>
      </w:r>
      <w:r w:rsidRPr="00D64F40">
        <w:rPr>
          <w:rFonts w:cstheme="minorHAnsi"/>
          <w:szCs w:val="22"/>
        </w:rPr>
        <w:t xml:space="preserve"> Self Service for the first time across a large central government de</w:t>
      </w:r>
      <w:r w:rsidR="00480454">
        <w:rPr>
          <w:rFonts w:cstheme="minorHAnsi"/>
          <w:szCs w:val="22"/>
        </w:rPr>
        <w:t>partment. Project delivered</w:t>
      </w:r>
      <w:r w:rsidRPr="00D64F40">
        <w:rPr>
          <w:rFonts w:cstheme="minorHAnsi"/>
          <w:szCs w:val="22"/>
        </w:rPr>
        <w:t xml:space="preserve"> the successful transition of two independent infrastructure services into a single entity. </w:t>
      </w:r>
      <w:r w:rsidR="00480454">
        <w:rPr>
          <w:rFonts w:cstheme="minorHAnsi"/>
          <w:szCs w:val="22"/>
        </w:rPr>
        <w:t>Managed and delivered</w:t>
      </w:r>
      <w:r w:rsidRPr="00D64F40">
        <w:rPr>
          <w:rFonts w:cstheme="minorHAnsi"/>
          <w:szCs w:val="22"/>
        </w:rPr>
        <w:t xml:space="preserve"> the Standardisation of both the desktop and laptop environments. This was achieved using a combination of best of practice methodologies including several Microsoft products and a Virtual Desktop presented via a Citrix solution; this in turn provided the Home Office with a single sign on environment that they could manage from any location in the Home Office network. </w:t>
      </w: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2"/>
        <w:gridCol w:w="5298"/>
      </w:tblGrid>
      <w:tr w:rsidR="00456B2F" w:rsidRPr="00456B2F" w:rsidTr="00456B2F">
        <w:tc>
          <w:tcPr>
            <w:tcW w:w="5192" w:type="dxa"/>
          </w:tcPr>
          <w:p w:rsidR="00456B2F" w:rsidRPr="00456B2F" w:rsidRDefault="00456B2F" w:rsidP="00456B2F">
            <w:pPr>
              <w:shd w:val="clear" w:color="auto" w:fill="FFFFFF"/>
              <w:spacing w:before="0" w:after="0" w:line="240" w:lineRule="auto"/>
              <w:rPr>
                <w:rFonts w:ascii="Calibri" w:eastAsia="Times New Roman" w:hAnsi="Calibri" w:cs="Calibri"/>
                <w:b/>
                <w:i/>
                <w:sz w:val="22"/>
                <w:szCs w:val="22"/>
              </w:rPr>
            </w:pPr>
            <w:r w:rsidRPr="00456B2F">
              <w:rPr>
                <w:rFonts w:ascii="Calibri" w:eastAsia="Times New Roman" w:hAnsi="Calibri" w:cs="Calibri"/>
                <w:b/>
                <w:sz w:val="22"/>
                <w:szCs w:val="22"/>
              </w:rPr>
              <w:lastRenderedPageBreak/>
              <w:t>SC Cleared Senior Technical Project Manager</w:t>
            </w:r>
            <w:r w:rsidRPr="00456B2F">
              <w:rPr>
                <w:rFonts w:ascii="Calibri" w:eastAsia="Times New Roman" w:hAnsi="Calibri" w:cs="Calibri"/>
                <w:b/>
                <w:i/>
                <w:sz w:val="22"/>
                <w:szCs w:val="22"/>
              </w:rPr>
              <w:t xml:space="preserve"> </w:t>
            </w:r>
          </w:p>
          <w:p w:rsidR="00456B2F" w:rsidRPr="00456B2F" w:rsidRDefault="00456B2F" w:rsidP="00456B2F">
            <w:pPr>
              <w:shd w:val="clear" w:color="auto" w:fill="FFFFFF"/>
              <w:spacing w:before="0" w:after="0" w:line="240" w:lineRule="auto"/>
              <w:rPr>
                <w:rFonts w:ascii="Calibri" w:eastAsia="Times New Roman" w:hAnsi="Calibri" w:cs="Times New Roman"/>
                <w:b/>
                <w:color w:val="000000"/>
                <w:sz w:val="22"/>
              </w:rPr>
            </w:pPr>
            <w:r w:rsidRPr="00456B2F">
              <w:rPr>
                <w:rFonts w:ascii="Calibri" w:eastAsia="Times New Roman" w:hAnsi="Calibri" w:cs="Calibri"/>
                <w:b/>
                <w:color w:val="365F91"/>
                <w:sz w:val="22"/>
                <w:szCs w:val="22"/>
              </w:rPr>
              <w:t>Atos Origin/</w:t>
            </w:r>
            <w:proofErr w:type="spellStart"/>
            <w:r w:rsidRPr="00456B2F">
              <w:rPr>
                <w:rFonts w:ascii="Calibri" w:eastAsia="Times New Roman" w:hAnsi="Calibri" w:cs="Calibri"/>
                <w:b/>
                <w:color w:val="365F91"/>
                <w:sz w:val="22"/>
                <w:szCs w:val="22"/>
              </w:rPr>
              <w:t>Govt</w:t>
            </w:r>
            <w:proofErr w:type="spellEnd"/>
            <w:r w:rsidRPr="00456B2F">
              <w:rPr>
                <w:rFonts w:ascii="Calibri" w:eastAsia="Times New Roman" w:hAnsi="Calibri" w:cs="Calibri"/>
                <w:b/>
                <w:color w:val="365F91"/>
                <w:sz w:val="22"/>
                <w:szCs w:val="22"/>
              </w:rPr>
              <w:t xml:space="preserve"> Accounts</w:t>
            </w:r>
          </w:p>
        </w:tc>
        <w:tc>
          <w:tcPr>
            <w:tcW w:w="5298" w:type="dxa"/>
          </w:tcPr>
          <w:p w:rsidR="00456B2F" w:rsidRPr="00456B2F" w:rsidRDefault="00456B2F" w:rsidP="00456B2F">
            <w:pPr>
              <w:spacing w:before="0" w:after="0" w:line="240" w:lineRule="auto"/>
              <w:jc w:val="right"/>
              <w:rPr>
                <w:rFonts w:ascii="Calibri" w:eastAsia="Times New Roman" w:hAnsi="Calibri" w:cs="Times New Roman"/>
                <w:b/>
                <w:color w:val="000000"/>
                <w:sz w:val="22"/>
                <w:szCs w:val="22"/>
              </w:rPr>
            </w:pPr>
            <w:r w:rsidRPr="00456B2F">
              <w:rPr>
                <w:rFonts w:ascii="Calibri" w:eastAsia="Times New Roman" w:hAnsi="Calibri" w:cs="Calibri"/>
                <w:b/>
                <w:sz w:val="22"/>
                <w:szCs w:val="22"/>
              </w:rPr>
              <w:t>March 2007 – June 2010</w:t>
            </w:r>
          </w:p>
        </w:tc>
      </w:tr>
    </w:tbl>
    <w:p w:rsidR="00456B2F" w:rsidRDefault="00456B2F" w:rsidP="00456B2F">
      <w:pPr>
        <w:shd w:val="clear" w:color="auto" w:fill="FFFFFF" w:themeFill="background1"/>
        <w:spacing w:before="0" w:after="0" w:line="240" w:lineRule="auto"/>
        <w:rPr>
          <w:rFonts w:cstheme="minorHAnsi"/>
          <w:b/>
          <w:sz w:val="22"/>
          <w:szCs w:val="22"/>
        </w:rPr>
      </w:pPr>
    </w:p>
    <w:p w:rsidR="00456B2F" w:rsidRPr="00834F65" w:rsidRDefault="00456B2F" w:rsidP="00456B2F">
      <w:pPr>
        <w:shd w:val="clear" w:color="auto" w:fill="FFFFFF" w:themeFill="background1"/>
        <w:spacing w:before="0" w:after="0" w:line="240" w:lineRule="auto"/>
        <w:rPr>
          <w:rFonts w:cstheme="minorHAnsi"/>
          <w:b/>
          <w:sz w:val="22"/>
          <w:szCs w:val="22"/>
        </w:rPr>
      </w:pPr>
      <w:r w:rsidRPr="00834F65">
        <w:rPr>
          <w:rFonts w:cstheme="minorHAnsi"/>
          <w:b/>
          <w:sz w:val="22"/>
          <w:szCs w:val="22"/>
        </w:rPr>
        <w:t>Ministry of Justice - DISC WAN Up</w:t>
      </w:r>
      <w:r w:rsidR="00480454">
        <w:rPr>
          <w:rFonts w:cstheme="minorHAnsi"/>
          <w:b/>
          <w:sz w:val="22"/>
          <w:szCs w:val="22"/>
        </w:rPr>
        <w:t xml:space="preserve">grade / Secure encryption for </w:t>
      </w:r>
      <w:proofErr w:type="spellStart"/>
      <w:r w:rsidR="00480454">
        <w:rPr>
          <w:rFonts w:cstheme="minorHAnsi"/>
          <w:b/>
          <w:sz w:val="22"/>
          <w:szCs w:val="22"/>
        </w:rPr>
        <w:t>Mo</w:t>
      </w:r>
      <w:bookmarkStart w:id="0" w:name="_GoBack"/>
      <w:bookmarkEnd w:id="0"/>
      <w:r w:rsidRPr="00834F65">
        <w:rPr>
          <w:rFonts w:cstheme="minorHAnsi"/>
          <w:b/>
          <w:sz w:val="22"/>
          <w:szCs w:val="22"/>
        </w:rPr>
        <w:t>J</w:t>
      </w:r>
      <w:proofErr w:type="spellEnd"/>
      <w:r w:rsidRPr="00834F65">
        <w:rPr>
          <w:rFonts w:cstheme="minorHAnsi"/>
          <w:b/>
          <w:sz w:val="22"/>
          <w:szCs w:val="22"/>
        </w:rPr>
        <w:t xml:space="preserve"> Judges and support staff laptops</w:t>
      </w:r>
    </w:p>
    <w:p w:rsidR="00456B2F" w:rsidRPr="00D64F40" w:rsidRDefault="00456B2F" w:rsidP="00456B2F">
      <w:pPr>
        <w:spacing w:before="0" w:after="0" w:line="240" w:lineRule="auto"/>
        <w:jc w:val="both"/>
        <w:rPr>
          <w:rFonts w:cstheme="minorHAnsi"/>
          <w:szCs w:val="22"/>
        </w:rPr>
      </w:pPr>
      <w:r w:rsidRPr="00D64F40">
        <w:rPr>
          <w:rFonts w:cstheme="minorHAnsi"/>
          <w:szCs w:val="22"/>
        </w:rPr>
        <w:t xml:space="preserve">Project managed the upgrade and design of WAN/LAN circuits to 17 Data Centre’s and 881 user sites across the UK which provided interconnectivity to over 35,000 staff. When Atos Origin won the DISC contract there were many service requests coming into the Helpdesk, one of my many re process – re engineering tasks as part of Service Improvement Programme (SIP) was to ensure that all these requests could be documented, managed and presented to the management teams without a loss to the work flow of the process. Addition project assignment; Project managed the upgrade of 1500 Judges Laptops and 4500 mobile graded users with secure encryption as part of a new Government directive outlined in amended Government policy. The project had a fixed deadline of the 1st April which was the date the existing solution would expire. The project relied heavily on good will and lots of inter-personal skills which the team brought to the project. Daily responsibility of staff used to build, train, rollout and maintain project was a little over 350 of a 6000+ user base. </w:t>
      </w:r>
    </w:p>
    <w:tbl>
      <w:tblPr>
        <w:tblStyle w:val="TableGrid"/>
        <w:tblW w:w="107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
        <w:gridCol w:w="4678"/>
        <w:gridCol w:w="233"/>
      </w:tblGrid>
      <w:tr w:rsidR="00456B2F" w:rsidRPr="00A0403C" w:rsidTr="00987E00">
        <w:trPr>
          <w:gridAfter w:val="1"/>
          <w:wAfter w:w="233" w:type="dxa"/>
        </w:trPr>
        <w:tc>
          <w:tcPr>
            <w:tcW w:w="5812" w:type="dxa"/>
            <w:gridSpan w:val="2"/>
          </w:tcPr>
          <w:p w:rsidR="00FD5F4F" w:rsidRPr="00FD5F4F" w:rsidRDefault="00456B2F" w:rsidP="00FD5F4F">
            <w:pPr>
              <w:shd w:val="clear" w:color="auto" w:fill="FFFFFF" w:themeFill="background1"/>
              <w:spacing w:after="0" w:line="240" w:lineRule="auto"/>
              <w:rPr>
                <w:rFonts w:cstheme="minorHAnsi"/>
                <w:b/>
                <w:i/>
                <w:sz w:val="22"/>
                <w:szCs w:val="22"/>
              </w:rPr>
            </w:pPr>
            <w:r w:rsidRPr="00456B2F">
              <w:rPr>
                <w:rFonts w:cstheme="minorHAnsi"/>
                <w:b/>
                <w:sz w:val="22"/>
                <w:szCs w:val="22"/>
              </w:rPr>
              <w:t>Technical Project Manager</w:t>
            </w:r>
            <w:r w:rsidRPr="00456B2F">
              <w:rPr>
                <w:rFonts w:cstheme="minorHAnsi"/>
                <w:b/>
                <w:i/>
                <w:sz w:val="22"/>
                <w:szCs w:val="22"/>
              </w:rPr>
              <w:t xml:space="preserve"> /</w:t>
            </w:r>
            <w:r w:rsidRPr="00456B2F">
              <w:rPr>
                <w:rFonts w:cstheme="minorHAnsi"/>
                <w:color w:val="000000"/>
                <w:sz w:val="22"/>
                <w:szCs w:val="22"/>
              </w:rPr>
              <w:t xml:space="preserve"> </w:t>
            </w:r>
            <w:r w:rsidRPr="00456B2F">
              <w:rPr>
                <w:rFonts w:cstheme="minorHAnsi"/>
                <w:b/>
                <w:color w:val="000000"/>
                <w:sz w:val="22"/>
                <w:szCs w:val="22"/>
              </w:rPr>
              <w:t>Senior PC/LAN/WAN</w:t>
            </w:r>
            <w:r w:rsidRPr="00FE6247">
              <w:rPr>
                <w:rFonts w:cstheme="minorHAnsi"/>
                <w:b/>
                <w:color w:val="000000"/>
              </w:rPr>
              <w:t xml:space="preserve"> Consultant</w:t>
            </w:r>
            <w:r w:rsidR="00FD5F4F">
              <w:rPr>
                <w:rFonts w:cstheme="minorHAnsi"/>
                <w:b/>
                <w:i/>
                <w:sz w:val="22"/>
                <w:szCs w:val="22"/>
              </w:rPr>
              <w:br/>
            </w:r>
            <w:r w:rsidR="00FD5F4F">
              <w:rPr>
                <w:rFonts w:cstheme="minorHAnsi"/>
                <w:b/>
                <w:color w:val="2E74B5" w:themeColor="accent1" w:themeShade="BF"/>
                <w:sz w:val="22"/>
                <w:szCs w:val="22"/>
              </w:rPr>
              <w:t>Various clients such as:</w:t>
            </w:r>
          </w:p>
        </w:tc>
        <w:tc>
          <w:tcPr>
            <w:tcW w:w="4678" w:type="dxa"/>
          </w:tcPr>
          <w:p w:rsidR="00456B2F" w:rsidRPr="00A0403C" w:rsidRDefault="00456B2F" w:rsidP="00AD1048">
            <w:pPr>
              <w:spacing w:line="240" w:lineRule="auto"/>
              <w:jc w:val="right"/>
              <w:rPr>
                <w:b/>
                <w:color w:val="000000" w:themeColor="text1"/>
                <w:sz w:val="22"/>
                <w:szCs w:val="22"/>
              </w:rPr>
            </w:pPr>
            <w:r>
              <w:rPr>
                <w:rFonts w:cstheme="minorHAnsi"/>
                <w:b/>
                <w:sz w:val="22"/>
                <w:szCs w:val="22"/>
              </w:rPr>
              <w:t>Sept 1986</w:t>
            </w:r>
            <w:r w:rsidRPr="00834F65">
              <w:rPr>
                <w:rFonts w:cstheme="minorHAnsi"/>
                <w:b/>
                <w:sz w:val="22"/>
                <w:szCs w:val="22"/>
              </w:rPr>
              <w:t xml:space="preserve"> – </w:t>
            </w:r>
            <w:r>
              <w:rPr>
                <w:rFonts w:cstheme="minorHAnsi"/>
                <w:b/>
                <w:sz w:val="22"/>
                <w:szCs w:val="22"/>
              </w:rPr>
              <w:t>February</w:t>
            </w:r>
            <w:r w:rsidRPr="00834F65">
              <w:rPr>
                <w:rFonts w:cstheme="minorHAnsi"/>
                <w:b/>
                <w:sz w:val="22"/>
                <w:szCs w:val="22"/>
              </w:rPr>
              <w:t xml:space="preserve"> 2010</w:t>
            </w:r>
          </w:p>
        </w:tc>
      </w:tr>
      <w:tr w:rsidR="00456B2F" w:rsidTr="00987E00">
        <w:tc>
          <w:tcPr>
            <w:tcW w:w="5387" w:type="dxa"/>
          </w:tcPr>
          <w:p w:rsidR="00456B2F" w:rsidRPr="00456B2F" w:rsidRDefault="00456B2F" w:rsidP="00987E00">
            <w:pPr>
              <w:pStyle w:val="ListParagraph"/>
              <w:numPr>
                <w:ilvl w:val="0"/>
                <w:numId w:val="4"/>
              </w:numPr>
              <w:shd w:val="clear" w:color="auto" w:fill="FFFFFF" w:themeFill="background1"/>
              <w:spacing w:before="0" w:after="0" w:line="240" w:lineRule="auto"/>
              <w:ind w:left="318" w:hanging="284"/>
              <w:rPr>
                <w:rFonts w:cstheme="minorHAnsi"/>
                <w:sz w:val="22"/>
                <w:szCs w:val="22"/>
              </w:rPr>
            </w:pPr>
            <w:r w:rsidRPr="00456B2F">
              <w:rPr>
                <w:rFonts w:cstheme="minorHAnsi"/>
                <w:sz w:val="22"/>
                <w:szCs w:val="22"/>
              </w:rPr>
              <w:t>Barclays Middle East and Africa</w:t>
            </w:r>
          </w:p>
          <w:p w:rsidR="00456B2F" w:rsidRPr="00456B2F" w:rsidRDefault="00456B2F" w:rsidP="00987E00">
            <w:pPr>
              <w:pStyle w:val="ListParagraph"/>
              <w:numPr>
                <w:ilvl w:val="0"/>
                <w:numId w:val="4"/>
              </w:numPr>
              <w:shd w:val="clear" w:color="auto" w:fill="FFFFFF" w:themeFill="background1"/>
              <w:spacing w:before="0" w:after="0" w:line="240" w:lineRule="auto"/>
              <w:ind w:left="318" w:hanging="284"/>
              <w:rPr>
                <w:rFonts w:cstheme="minorHAnsi"/>
                <w:sz w:val="22"/>
                <w:szCs w:val="22"/>
              </w:rPr>
            </w:pPr>
            <w:r w:rsidRPr="00456B2F">
              <w:rPr>
                <w:rFonts w:cstheme="minorHAnsi"/>
                <w:sz w:val="22"/>
                <w:szCs w:val="22"/>
              </w:rPr>
              <w:t>BT Lynx Technology Limited</w:t>
            </w:r>
          </w:p>
          <w:p w:rsidR="00456B2F" w:rsidRPr="00456B2F" w:rsidRDefault="00456B2F" w:rsidP="00987E00">
            <w:pPr>
              <w:pStyle w:val="ListParagraph"/>
              <w:numPr>
                <w:ilvl w:val="0"/>
                <w:numId w:val="4"/>
              </w:numPr>
              <w:shd w:val="clear" w:color="auto" w:fill="FFFFFF" w:themeFill="background1"/>
              <w:spacing w:before="0" w:after="0" w:line="240" w:lineRule="auto"/>
              <w:ind w:left="318" w:hanging="284"/>
              <w:rPr>
                <w:rFonts w:cstheme="minorHAnsi"/>
                <w:sz w:val="22"/>
                <w:szCs w:val="22"/>
              </w:rPr>
            </w:pPr>
            <w:r w:rsidRPr="00456B2F">
              <w:rPr>
                <w:rFonts w:cstheme="minorHAnsi"/>
                <w:sz w:val="22"/>
                <w:szCs w:val="22"/>
              </w:rPr>
              <w:t>Cummins Power Generation</w:t>
            </w:r>
          </w:p>
          <w:p w:rsidR="00456B2F" w:rsidRPr="00456B2F" w:rsidRDefault="00456B2F" w:rsidP="00987E00">
            <w:pPr>
              <w:pStyle w:val="ListParagraph"/>
              <w:numPr>
                <w:ilvl w:val="0"/>
                <w:numId w:val="4"/>
              </w:numPr>
              <w:shd w:val="clear" w:color="auto" w:fill="FFFFFF" w:themeFill="background1"/>
              <w:spacing w:before="0" w:after="0" w:line="240" w:lineRule="auto"/>
              <w:ind w:left="318" w:hanging="284"/>
              <w:rPr>
                <w:rFonts w:cstheme="minorHAnsi"/>
                <w:sz w:val="22"/>
                <w:szCs w:val="22"/>
              </w:rPr>
            </w:pPr>
            <w:r w:rsidRPr="00456B2F">
              <w:rPr>
                <w:rFonts w:cstheme="minorHAnsi"/>
                <w:sz w:val="22"/>
                <w:szCs w:val="22"/>
              </w:rPr>
              <w:t>Kent County Council</w:t>
            </w:r>
          </w:p>
          <w:p w:rsidR="00456B2F" w:rsidRPr="00456B2F" w:rsidRDefault="00456B2F" w:rsidP="00987E00">
            <w:pPr>
              <w:pStyle w:val="ListParagraph"/>
              <w:numPr>
                <w:ilvl w:val="0"/>
                <w:numId w:val="4"/>
              </w:numPr>
              <w:shd w:val="clear" w:color="auto" w:fill="FFFFFF" w:themeFill="background1"/>
              <w:spacing w:before="0" w:after="0" w:line="240" w:lineRule="auto"/>
              <w:ind w:left="318" w:hanging="284"/>
              <w:rPr>
                <w:rFonts w:cstheme="minorHAnsi"/>
                <w:sz w:val="22"/>
                <w:szCs w:val="22"/>
              </w:rPr>
            </w:pPr>
            <w:r w:rsidRPr="00456B2F">
              <w:rPr>
                <w:rFonts w:cstheme="minorHAnsi"/>
                <w:sz w:val="22"/>
                <w:szCs w:val="22"/>
              </w:rPr>
              <w:t>Lovell’s</w:t>
            </w:r>
          </w:p>
          <w:p w:rsidR="00456B2F" w:rsidRPr="00456B2F" w:rsidRDefault="00456B2F" w:rsidP="00987E00">
            <w:pPr>
              <w:pStyle w:val="ListParagraph"/>
              <w:numPr>
                <w:ilvl w:val="0"/>
                <w:numId w:val="4"/>
              </w:numPr>
              <w:spacing w:before="0" w:after="0" w:line="240" w:lineRule="auto"/>
              <w:ind w:left="318" w:hanging="284"/>
              <w:rPr>
                <w:rFonts w:cstheme="minorHAnsi"/>
                <w:sz w:val="22"/>
                <w:szCs w:val="22"/>
              </w:rPr>
            </w:pPr>
            <w:r w:rsidRPr="00456B2F">
              <w:rPr>
                <w:rFonts w:cstheme="minorHAnsi"/>
                <w:sz w:val="22"/>
                <w:szCs w:val="22"/>
              </w:rPr>
              <w:t>BBC</w:t>
            </w:r>
          </w:p>
        </w:tc>
        <w:tc>
          <w:tcPr>
            <w:tcW w:w="5336" w:type="dxa"/>
            <w:gridSpan w:val="3"/>
          </w:tcPr>
          <w:p w:rsidR="00456B2F" w:rsidRPr="00456B2F" w:rsidRDefault="00456B2F" w:rsidP="00987E00">
            <w:pPr>
              <w:pStyle w:val="ListParagraph"/>
              <w:numPr>
                <w:ilvl w:val="0"/>
                <w:numId w:val="4"/>
              </w:numPr>
              <w:shd w:val="clear" w:color="auto" w:fill="FFFFFF" w:themeFill="background1"/>
              <w:spacing w:before="0" w:after="0" w:line="240" w:lineRule="auto"/>
              <w:ind w:left="318" w:hanging="318"/>
              <w:rPr>
                <w:rFonts w:cstheme="minorHAnsi"/>
                <w:sz w:val="22"/>
                <w:szCs w:val="22"/>
              </w:rPr>
            </w:pPr>
            <w:r w:rsidRPr="00456B2F">
              <w:rPr>
                <w:rFonts w:cstheme="minorHAnsi"/>
                <w:sz w:val="22"/>
                <w:szCs w:val="22"/>
              </w:rPr>
              <w:t>Seagram Wines and Spirit Group</w:t>
            </w:r>
          </w:p>
          <w:p w:rsidR="00456B2F" w:rsidRPr="00456B2F" w:rsidRDefault="00456B2F" w:rsidP="00987E00">
            <w:pPr>
              <w:pStyle w:val="ListParagraph"/>
              <w:numPr>
                <w:ilvl w:val="0"/>
                <w:numId w:val="4"/>
              </w:numPr>
              <w:shd w:val="clear" w:color="auto" w:fill="FFFFFF" w:themeFill="background1"/>
              <w:spacing w:before="0" w:after="0" w:line="240" w:lineRule="auto"/>
              <w:ind w:left="318" w:hanging="318"/>
              <w:rPr>
                <w:rFonts w:cstheme="minorHAnsi"/>
                <w:sz w:val="22"/>
                <w:szCs w:val="22"/>
              </w:rPr>
            </w:pPr>
            <w:r w:rsidRPr="00456B2F">
              <w:rPr>
                <w:rFonts w:cstheme="minorHAnsi"/>
                <w:sz w:val="22"/>
                <w:szCs w:val="22"/>
              </w:rPr>
              <w:t>Merrill Lynch</w:t>
            </w:r>
          </w:p>
          <w:p w:rsidR="00456B2F" w:rsidRPr="00456B2F" w:rsidRDefault="00456B2F" w:rsidP="00987E00">
            <w:pPr>
              <w:pStyle w:val="ListParagraph"/>
              <w:numPr>
                <w:ilvl w:val="0"/>
                <w:numId w:val="4"/>
              </w:numPr>
              <w:shd w:val="clear" w:color="auto" w:fill="FFFFFF" w:themeFill="background1"/>
              <w:spacing w:before="0" w:after="0" w:line="240" w:lineRule="auto"/>
              <w:ind w:left="318" w:hanging="318"/>
              <w:rPr>
                <w:rFonts w:cstheme="minorHAnsi"/>
                <w:sz w:val="22"/>
                <w:szCs w:val="22"/>
              </w:rPr>
            </w:pPr>
            <w:r w:rsidRPr="00456B2F">
              <w:rPr>
                <w:rFonts w:cstheme="minorHAnsi"/>
                <w:sz w:val="22"/>
                <w:szCs w:val="22"/>
              </w:rPr>
              <w:t>JP Morgan/Morgan Guaranty Trust Senior</w:t>
            </w:r>
          </w:p>
          <w:p w:rsidR="00456B2F" w:rsidRPr="00456B2F" w:rsidRDefault="00456B2F" w:rsidP="00987E00">
            <w:pPr>
              <w:pStyle w:val="ListParagraph"/>
              <w:numPr>
                <w:ilvl w:val="0"/>
                <w:numId w:val="4"/>
              </w:numPr>
              <w:shd w:val="clear" w:color="auto" w:fill="FFFFFF" w:themeFill="background1"/>
              <w:spacing w:before="0" w:after="0" w:line="240" w:lineRule="auto"/>
              <w:ind w:left="318" w:hanging="318"/>
              <w:rPr>
                <w:rFonts w:cstheme="minorHAnsi"/>
                <w:sz w:val="22"/>
                <w:szCs w:val="22"/>
              </w:rPr>
            </w:pPr>
            <w:r w:rsidRPr="00456B2F">
              <w:rPr>
                <w:rFonts w:cstheme="minorHAnsi"/>
                <w:sz w:val="22"/>
                <w:szCs w:val="22"/>
              </w:rPr>
              <w:t>Citibank NA</w:t>
            </w:r>
          </w:p>
          <w:p w:rsidR="00456B2F" w:rsidRPr="00456B2F" w:rsidRDefault="00456B2F" w:rsidP="00987E00">
            <w:pPr>
              <w:pStyle w:val="ListParagraph"/>
              <w:numPr>
                <w:ilvl w:val="0"/>
                <w:numId w:val="4"/>
              </w:numPr>
              <w:shd w:val="clear" w:color="auto" w:fill="FFFFFF" w:themeFill="background1"/>
              <w:spacing w:before="0" w:after="0" w:line="240" w:lineRule="auto"/>
              <w:ind w:left="318" w:hanging="318"/>
              <w:rPr>
                <w:rFonts w:cstheme="minorHAnsi"/>
                <w:b/>
                <w:sz w:val="22"/>
                <w:szCs w:val="22"/>
              </w:rPr>
            </w:pPr>
            <w:r w:rsidRPr="00456B2F">
              <w:rPr>
                <w:rFonts w:cstheme="minorHAnsi"/>
                <w:sz w:val="22"/>
                <w:szCs w:val="22"/>
              </w:rPr>
              <w:t>Grand Metropolitan Services</w:t>
            </w:r>
          </w:p>
          <w:p w:rsidR="00456B2F" w:rsidRPr="00456B2F" w:rsidRDefault="00456B2F" w:rsidP="00987E00">
            <w:pPr>
              <w:pStyle w:val="ListParagraph"/>
              <w:numPr>
                <w:ilvl w:val="0"/>
                <w:numId w:val="4"/>
              </w:numPr>
              <w:shd w:val="clear" w:color="auto" w:fill="FFFFFF" w:themeFill="background1"/>
              <w:spacing w:before="0" w:after="0" w:line="240" w:lineRule="auto"/>
              <w:ind w:left="318" w:hanging="318"/>
              <w:rPr>
                <w:rFonts w:cstheme="minorHAnsi"/>
                <w:b/>
                <w:sz w:val="22"/>
                <w:szCs w:val="22"/>
              </w:rPr>
            </w:pPr>
            <w:r w:rsidRPr="00456B2F">
              <w:rPr>
                <w:rFonts w:cstheme="minorHAnsi"/>
                <w:sz w:val="22"/>
                <w:szCs w:val="22"/>
              </w:rPr>
              <w:t>HM Customs &amp; Excise</w:t>
            </w:r>
          </w:p>
        </w:tc>
      </w:tr>
    </w:tbl>
    <w:p w:rsidR="00A318FB" w:rsidRDefault="00FD5F4F" w:rsidP="00A318FB">
      <w:pPr>
        <w:rPr>
          <w:b/>
          <w:color w:val="323E4F" w:themeColor="text2" w:themeShade="BF"/>
          <w:sz w:val="24"/>
          <w:szCs w:val="24"/>
        </w:rPr>
      </w:pPr>
      <w:r w:rsidRPr="00A51CD0">
        <w:rPr>
          <w:b/>
          <w:noProof/>
          <w:sz w:val="24"/>
          <w:szCs w:val="24"/>
          <w:lang w:eastAsia="en-GB" w:bidi="ar-SA"/>
        </w:rPr>
        <w:drawing>
          <wp:anchor distT="0" distB="0" distL="114300" distR="114300" simplePos="0" relativeHeight="251665408" behindDoc="1" locked="0" layoutInCell="1" allowOverlap="1" wp14:anchorId="7C6BE390" wp14:editId="5206096B">
            <wp:simplePos x="0" y="0"/>
            <wp:positionH relativeFrom="column">
              <wp:posOffset>-1390650</wp:posOffset>
            </wp:positionH>
            <wp:positionV relativeFrom="paragraph">
              <wp:posOffset>48260</wp:posOffset>
            </wp:positionV>
            <wp:extent cx="4219575" cy="3619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3.jpg"/>
                    <pic:cNvPicPr/>
                  </pic:nvPicPr>
                  <pic:blipFill>
                    <a:blip r:embed="rId12">
                      <a:extLst>
                        <a:ext uri="{28A0092B-C50C-407E-A947-70E740481C1C}">
                          <a14:useLocalDpi xmlns:a14="http://schemas.microsoft.com/office/drawing/2010/main" val="0"/>
                        </a:ext>
                      </a:extLst>
                    </a:blip>
                    <a:stretch>
                      <a:fillRect/>
                    </a:stretch>
                  </pic:blipFill>
                  <pic:spPr>
                    <a:xfrm>
                      <a:off x="0" y="0"/>
                      <a:ext cx="4219575" cy="361950"/>
                    </a:xfrm>
                    <a:prstGeom prst="rect">
                      <a:avLst/>
                    </a:prstGeom>
                  </pic:spPr>
                </pic:pic>
              </a:graphicData>
            </a:graphic>
            <wp14:sizeRelV relativeFrom="margin">
              <wp14:pctHeight>0</wp14:pctHeight>
            </wp14:sizeRelV>
          </wp:anchor>
        </w:drawing>
      </w:r>
      <w:r>
        <w:rPr>
          <w:b/>
          <w:color w:val="323E4F" w:themeColor="text2" w:themeShade="BF"/>
          <w:sz w:val="24"/>
          <w:szCs w:val="24"/>
        </w:rPr>
        <w:t>Academic and professional qualifications</w:t>
      </w:r>
    </w:p>
    <w:p w:rsidR="00FD5F4F" w:rsidRDefault="00FD5F4F" w:rsidP="00FD5F4F">
      <w:pPr>
        <w:autoSpaceDE w:val="0"/>
        <w:autoSpaceDN w:val="0"/>
        <w:adjustRightInd w:val="0"/>
        <w:spacing w:before="0" w:after="0"/>
        <w:rPr>
          <w:rFonts w:cstheme="minorHAnsi"/>
          <w:color w:val="000000"/>
        </w:rPr>
      </w:pPr>
      <w:r w:rsidRPr="0046468C">
        <w:rPr>
          <w:rFonts w:cstheme="minorHAnsi"/>
          <w:color w:val="000000"/>
        </w:rPr>
        <w:t>Computer Studies, Mathematics, English, Physics, Art &amp; Craft, History, English Language &amp; Pure Mathematics, RSA Data Processing Modes 1 &amp; 2, BTEC National Certificate in Computer Studies</w:t>
      </w:r>
      <w:r>
        <w:rPr>
          <w:rFonts w:cstheme="minorHAnsi"/>
          <w:color w:val="000000"/>
        </w:rPr>
        <w:br/>
      </w:r>
    </w:p>
    <w:tbl>
      <w:tblPr>
        <w:tblW w:w="10668" w:type="dxa"/>
        <w:tblInd w:w="-142" w:type="dxa"/>
        <w:tblLook w:val="04A0" w:firstRow="1" w:lastRow="0" w:firstColumn="1" w:lastColumn="0" w:noHBand="0" w:noVBand="1"/>
      </w:tblPr>
      <w:tblGrid>
        <w:gridCol w:w="5314"/>
        <w:gridCol w:w="5354"/>
      </w:tblGrid>
      <w:tr w:rsidR="00FD5F4F" w:rsidRPr="0046468C" w:rsidTr="00987E00">
        <w:trPr>
          <w:trHeight w:val="4211"/>
        </w:trPr>
        <w:tc>
          <w:tcPr>
            <w:tcW w:w="5314" w:type="dxa"/>
            <w:shd w:val="clear" w:color="auto" w:fill="auto"/>
          </w:tcPr>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AS400 Operator – Shift Leader run by IBM</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Business Systems Analysis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Cold Fusion – Simple Techniques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Cisco Awareness of VOIP and IP Telephony</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Data Migration of Oracle Financial Databases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DataEase All Courses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Understanding e-Commerce and Rapid deployment</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H.M. Customs &amp; Excise - All Internal Courses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Health &amp; Safety Course</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ISO 14000 / ISO 14001 Environmental Auditor</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ISO 9001 / BS5750 Quality Assurance Course</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ITPM (Information Technology Project Methodology)</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Lotus 123 Basic, Advanced Courses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Microsoft Access – Database design</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Microsoft Business Applications and CRM</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Novartis Bronze ICE Project Managements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Design for Six Sigma – Novartis implementation course</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SharePoint Administrator Course - Novartis</w:t>
            </w:r>
          </w:p>
        </w:tc>
        <w:tc>
          <w:tcPr>
            <w:tcW w:w="5354" w:type="dxa"/>
            <w:shd w:val="clear" w:color="auto" w:fill="auto"/>
          </w:tcPr>
          <w:p w:rsidR="00FD5F4F" w:rsidRPr="00FE6247" w:rsidRDefault="00480454"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Pr>
                <w:rFonts w:cstheme="minorHAnsi"/>
                <w:color w:val="000000"/>
              </w:rPr>
              <w:t>Microsoft Office 2010</w:t>
            </w:r>
            <w:r w:rsidR="00FD5F4F" w:rsidRPr="00FE6247">
              <w:rPr>
                <w:rFonts w:cstheme="minorHAnsi"/>
                <w:color w:val="000000"/>
              </w:rPr>
              <w:t xml:space="preserve"> – Advanced techniques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Netcool / Omnibus All Courses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Novell - All System Manager courses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Project Management and Implementation</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Project Manager Workbench - All Courses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Prompt/Prince/Prince 2 Methodology</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RAD Implementation of Microsoft products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Sarbanes Oxley Project Cycle – Auditor</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Six Sigma Black Belt</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SSADM Version 3 and 4</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SEO marketing for Project Managers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Systems Analysis and Implementation</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Technical Plans for e-commerce</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Telephone Techniques and principles</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Windows 2000/2003/2008 – Implementation course</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Novartis Silver ICE Project Management</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Design for Six Sigma – Trainer the Trainer</w:t>
            </w:r>
          </w:p>
          <w:p w:rsidR="00FD5F4F" w:rsidRPr="00FE6247" w:rsidRDefault="00FD5F4F" w:rsidP="00987E00">
            <w:pPr>
              <w:pStyle w:val="ListParagraph"/>
              <w:numPr>
                <w:ilvl w:val="0"/>
                <w:numId w:val="7"/>
              </w:numPr>
              <w:autoSpaceDE w:val="0"/>
              <w:autoSpaceDN w:val="0"/>
              <w:adjustRightInd w:val="0"/>
              <w:spacing w:before="0" w:after="0" w:line="240" w:lineRule="auto"/>
              <w:ind w:left="318" w:hanging="284"/>
              <w:rPr>
                <w:rFonts w:cstheme="minorHAnsi"/>
                <w:color w:val="000000"/>
              </w:rPr>
            </w:pPr>
            <w:r w:rsidRPr="00FE6247">
              <w:rPr>
                <w:rFonts w:cstheme="minorHAnsi"/>
                <w:color w:val="000000"/>
              </w:rPr>
              <w:t>Clarity Report Tool - Novartis</w:t>
            </w:r>
          </w:p>
        </w:tc>
      </w:tr>
    </w:tbl>
    <w:p w:rsidR="00FD5F4F" w:rsidRPr="00A318FB" w:rsidRDefault="00FD5F4F" w:rsidP="00FD5F4F">
      <w:pPr>
        <w:rPr>
          <w:b/>
          <w:color w:val="323E4F" w:themeColor="text2" w:themeShade="BF"/>
          <w:sz w:val="24"/>
          <w:szCs w:val="24"/>
        </w:rPr>
      </w:pPr>
    </w:p>
    <w:sectPr w:rsidR="00FD5F4F" w:rsidRPr="00A318FB" w:rsidSect="00456B2F">
      <w:pgSz w:w="11906" w:h="16838"/>
      <w:pgMar w:top="568"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6.3pt;height:34.55pt" o:bullet="t">
        <v:imagedata r:id="rId1" o:title="bullet3"/>
      </v:shape>
    </w:pict>
  </w:numPicBullet>
  <w:numPicBullet w:numPicBulletId="1">
    <w:pict>
      <v:shape id="_x0000_i1049" type="#_x0000_t75" style="width:29.95pt;height:29.95pt" o:bullet="t">
        <v:imagedata r:id="rId2" o:title="bullet2"/>
      </v:shape>
    </w:pict>
  </w:numPicBullet>
  <w:abstractNum w:abstractNumId="0">
    <w:nsid w:val="075751DF"/>
    <w:multiLevelType w:val="hybridMultilevel"/>
    <w:tmpl w:val="1FCC23F4"/>
    <w:lvl w:ilvl="0" w:tplc="437A0BB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150FC"/>
    <w:multiLevelType w:val="hybridMultilevel"/>
    <w:tmpl w:val="2FB6E86C"/>
    <w:lvl w:ilvl="0" w:tplc="9800E8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D162B"/>
    <w:multiLevelType w:val="hybridMultilevel"/>
    <w:tmpl w:val="3C0AD02C"/>
    <w:lvl w:ilvl="0" w:tplc="9800E85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C29A8"/>
    <w:multiLevelType w:val="hybridMultilevel"/>
    <w:tmpl w:val="8E8C22D6"/>
    <w:lvl w:ilvl="0" w:tplc="437A0BB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3607D"/>
    <w:multiLevelType w:val="hybridMultilevel"/>
    <w:tmpl w:val="DBCCCEE8"/>
    <w:lvl w:ilvl="0" w:tplc="9800E8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620654"/>
    <w:multiLevelType w:val="hybridMultilevel"/>
    <w:tmpl w:val="E74E2736"/>
    <w:lvl w:ilvl="0" w:tplc="9800E85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1F4660"/>
    <w:multiLevelType w:val="hybridMultilevel"/>
    <w:tmpl w:val="169227AA"/>
    <w:lvl w:ilvl="0" w:tplc="437A0BB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F9"/>
    <w:rsid w:val="00275132"/>
    <w:rsid w:val="00456B2F"/>
    <w:rsid w:val="00480454"/>
    <w:rsid w:val="004B36F7"/>
    <w:rsid w:val="007A3C3C"/>
    <w:rsid w:val="007D5276"/>
    <w:rsid w:val="008711CE"/>
    <w:rsid w:val="00890FF9"/>
    <w:rsid w:val="00936643"/>
    <w:rsid w:val="00987E00"/>
    <w:rsid w:val="00A318FB"/>
    <w:rsid w:val="00B52BE2"/>
    <w:rsid w:val="00CC5911"/>
    <w:rsid w:val="00CE167E"/>
    <w:rsid w:val="00D64F40"/>
    <w:rsid w:val="00E16E8F"/>
    <w:rsid w:val="00FD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F9"/>
    <w:pPr>
      <w:spacing w:before="200" w:after="200" w:line="276" w:lineRule="auto"/>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FF9"/>
    <w:pPr>
      <w:spacing w:after="0" w:line="276"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0FF9"/>
    <w:rPr>
      <w:color w:val="0000FF"/>
      <w:u w:val="single"/>
    </w:rPr>
  </w:style>
  <w:style w:type="character" w:customStyle="1" w:styleId="5yl5">
    <w:name w:val="_5yl5"/>
    <w:basedOn w:val="DefaultParagraphFont"/>
    <w:rsid w:val="00890FF9"/>
  </w:style>
  <w:style w:type="paragraph" w:styleId="ListParagraph">
    <w:name w:val="List Paragraph"/>
    <w:basedOn w:val="Normal"/>
    <w:uiPriority w:val="34"/>
    <w:qFormat/>
    <w:rsid w:val="00A318FB"/>
    <w:pPr>
      <w:ind w:left="720"/>
      <w:contextualSpacing/>
    </w:pPr>
  </w:style>
  <w:style w:type="table" w:customStyle="1" w:styleId="TableGrid1">
    <w:name w:val="Table Grid1"/>
    <w:basedOn w:val="TableNormal"/>
    <w:next w:val="TableGrid"/>
    <w:rsid w:val="00456B2F"/>
    <w:pPr>
      <w:spacing w:after="0" w:line="276"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C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3C"/>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F9"/>
    <w:pPr>
      <w:spacing w:before="200" w:after="200" w:line="276" w:lineRule="auto"/>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0FF9"/>
    <w:pPr>
      <w:spacing w:after="0" w:line="276"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0FF9"/>
    <w:rPr>
      <w:color w:val="0000FF"/>
      <w:u w:val="single"/>
    </w:rPr>
  </w:style>
  <w:style w:type="character" w:customStyle="1" w:styleId="5yl5">
    <w:name w:val="_5yl5"/>
    <w:basedOn w:val="DefaultParagraphFont"/>
    <w:rsid w:val="00890FF9"/>
  </w:style>
  <w:style w:type="paragraph" w:styleId="ListParagraph">
    <w:name w:val="List Paragraph"/>
    <w:basedOn w:val="Normal"/>
    <w:uiPriority w:val="34"/>
    <w:qFormat/>
    <w:rsid w:val="00A318FB"/>
    <w:pPr>
      <w:ind w:left="720"/>
      <w:contextualSpacing/>
    </w:pPr>
  </w:style>
  <w:style w:type="table" w:customStyle="1" w:styleId="TableGrid1">
    <w:name w:val="Table Grid1"/>
    <w:basedOn w:val="TableNormal"/>
    <w:next w:val="TableGrid"/>
    <w:rsid w:val="00456B2F"/>
    <w:pPr>
      <w:spacing w:after="0" w:line="276" w:lineRule="auto"/>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C3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C3C"/>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4.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hyperlink" Target="http://uk.linkedin.com/in/russelldemontf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ssell@demontfort.co" TargetMode="External"/><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Rosssanna</dc:creator>
  <cp:lastModifiedBy>RdM</cp:lastModifiedBy>
  <cp:revision>4</cp:revision>
  <dcterms:created xsi:type="dcterms:W3CDTF">2017-01-15T12:53:00Z</dcterms:created>
  <dcterms:modified xsi:type="dcterms:W3CDTF">2017-01-15T13:42:00Z</dcterms:modified>
</cp:coreProperties>
</file>